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宋体" w:hAnsi="宋体"/>
          <w:b/>
          <w:sz w:val="44"/>
          <w:szCs w:val="30"/>
        </w:rPr>
      </w:pPr>
      <w:r>
        <w:rPr>
          <w:rFonts w:hint="eastAsia" w:ascii="宋体" w:hAnsi="宋体"/>
          <w:b/>
          <w:sz w:val="44"/>
          <w:szCs w:val="30"/>
        </w:rPr>
        <w:t>放射科高性能并行计算服务器采购项目需求</w:t>
      </w:r>
    </w:p>
    <w:p>
      <w:pPr>
        <w:pStyle w:val="2"/>
        <w:numPr>
          <w:ilvl w:val="0"/>
          <w:numId w:val="3"/>
        </w:numPr>
        <w:spacing w:before="0" w:after="0"/>
        <w:rPr>
          <w:rFonts w:ascii="宋体" w:hAnsi="宋体"/>
          <w:sz w:val="32"/>
          <w:szCs w:val="32"/>
        </w:rPr>
      </w:pPr>
      <w:r>
        <w:rPr>
          <w:rFonts w:hint="eastAsia" w:ascii="宋体" w:hAnsi="宋体"/>
          <w:sz w:val="32"/>
          <w:szCs w:val="32"/>
        </w:rPr>
        <w:t>项目名称</w:t>
      </w:r>
    </w:p>
    <w:p>
      <w:pPr>
        <w:spacing w:line="360" w:lineRule="auto"/>
        <w:ind w:left="432"/>
        <w:rPr>
          <w:rFonts w:hint="default" w:ascii="宋体" w:hAnsi="宋体" w:eastAsia="宋体"/>
          <w:sz w:val="22"/>
          <w:lang w:val="en-US" w:eastAsia="zh-CN"/>
        </w:rPr>
      </w:pPr>
      <w:r>
        <w:rPr>
          <w:rFonts w:hint="eastAsia" w:ascii="宋体" w:hAnsi="宋体"/>
          <w:sz w:val="22"/>
        </w:rPr>
        <w:t>项目名称：</w:t>
      </w:r>
      <w:r>
        <w:rPr>
          <w:rFonts w:hint="eastAsia" w:ascii="宋体" w:hAnsi="宋体"/>
          <w:sz w:val="22"/>
          <w:lang w:val="en-US" w:eastAsia="zh-CN"/>
        </w:rPr>
        <w:t>放射科高性能并行计算服务器采购项目</w:t>
      </w:r>
    </w:p>
    <w:p>
      <w:pPr>
        <w:spacing w:line="360" w:lineRule="auto"/>
        <w:ind w:left="432"/>
        <w:rPr>
          <w:rFonts w:ascii="宋体" w:hAnsi="宋体"/>
          <w:sz w:val="22"/>
        </w:rPr>
      </w:pPr>
    </w:p>
    <w:p>
      <w:pPr>
        <w:pStyle w:val="2"/>
        <w:numPr>
          <w:ilvl w:val="0"/>
          <w:numId w:val="3"/>
        </w:numPr>
        <w:spacing w:before="0" w:after="0"/>
        <w:rPr>
          <w:rFonts w:ascii="宋体" w:hAnsi="宋体" w:eastAsia="宋体"/>
          <w:b/>
          <w:bCs/>
          <w:vanish/>
          <w:kern w:val="44"/>
          <w:szCs w:val="21"/>
        </w:rPr>
      </w:pPr>
      <w:r>
        <w:rPr>
          <w:rFonts w:hint="eastAsia" w:ascii="宋体" w:hAnsi="宋体"/>
          <w:sz w:val="32"/>
          <w:szCs w:val="32"/>
        </w:rPr>
        <w:t>采购清单</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6"/>
        <w:gridCol w:w="3346"/>
        <w:gridCol w:w="1919"/>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tcBorders>
              <w:tl2br w:val="nil"/>
            </w:tcBorders>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序号</w:t>
            </w:r>
          </w:p>
        </w:tc>
        <w:tc>
          <w:tcPr>
            <w:tcW w:w="1967"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项目名称</w:t>
            </w:r>
          </w:p>
        </w:tc>
        <w:tc>
          <w:tcPr>
            <w:tcW w:w="1198"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数量</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shd w:val="clear" w:color="auto" w:fill="FFFFFF"/>
          </w:tcPr>
          <w:p>
            <w:pPr>
              <w:widowControl/>
              <w:ind w:left="1280" w:hanging="440"/>
              <w:jc w:val="left"/>
              <w:textAlignment w:val="center"/>
              <w:rPr>
                <w:rFonts w:cs="宋体"/>
                <w:b w:val="0"/>
                <w:bCs/>
                <w:color w:val="000000"/>
                <w:kern w:val="0"/>
                <w:sz w:val="22"/>
              </w:rPr>
            </w:pPr>
            <w:bookmarkStart w:id="0" w:name="_Hlk150272548"/>
            <w:r>
              <w:rPr>
                <w:rFonts w:hint="eastAsia" w:cs="宋体"/>
                <w:b w:val="0"/>
                <w:bCs/>
                <w:color w:val="000000"/>
                <w:kern w:val="0"/>
                <w:sz w:val="22"/>
              </w:rPr>
              <w:t>1</w:t>
            </w:r>
          </w:p>
        </w:tc>
        <w:tc>
          <w:tcPr>
            <w:tcW w:w="1967"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G</w:t>
            </w:r>
            <w:r>
              <w:rPr>
                <w:rFonts w:cs="宋体"/>
                <w:b w:val="0"/>
                <w:bCs/>
                <w:color w:val="000000"/>
                <w:kern w:val="0"/>
                <w:sz w:val="22"/>
              </w:rPr>
              <w:t>PU服务器</w:t>
            </w:r>
          </w:p>
        </w:tc>
        <w:tc>
          <w:tcPr>
            <w:tcW w:w="1198"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3</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台</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2</w:t>
            </w:r>
          </w:p>
        </w:tc>
        <w:tc>
          <w:tcPr>
            <w:tcW w:w="1967"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管理服务器</w:t>
            </w:r>
            <w:r>
              <w:rPr>
                <w:rFonts w:cs="宋体"/>
                <w:b w:val="0"/>
                <w:bCs/>
                <w:color w:val="000000"/>
                <w:kern w:val="0"/>
                <w:sz w:val="22"/>
              </w:rPr>
              <w:t xml:space="preserve"> </w:t>
            </w:r>
          </w:p>
        </w:tc>
        <w:tc>
          <w:tcPr>
            <w:tcW w:w="1198"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2</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3</w:t>
            </w:r>
          </w:p>
        </w:tc>
        <w:tc>
          <w:tcPr>
            <w:tcW w:w="1967"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IB线缆</w:t>
            </w:r>
          </w:p>
        </w:tc>
        <w:tc>
          <w:tcPr>
            <w:tcW w:w="1198"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5</w:t>
            </w:r>
            <w:r>
              <w:rPr>
                <w:rFonts w:hint="eastAsia" w:cs="宋体"/>
                <w:b w:val="0"/>
                <w:bCs/>
                <w:color w:val="000000"/>
                <w:kern w:val="0"/>
                <w:sz w:val="22"/>
              </w:rPr>
              <w:t xml:space="preserve"> </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4</w:t>
            </w:r>
          </w:p>
        </w:tc>
        <w:tc>
          <w:tcPr>
            <w:tcW w:w="1967" w:type="pct"/>
            <w:shd w:val="clear" w:color="auto" w:fill="FFFFFF"/>
          </w:tcPr>
          <w:p>
            <w:pPr>
              <w:widowControl/>
              <w:ind w:left="1280" w:hanging="440"/>
              <w:jc w:val="left"/>
              <w:textAlignment w:val="center"/>
              <w:rPr>
                <w:rFonts w:cs="宋体"/>
                <w:b w:val="0"/>
                <w:bCs/>
                <w:color w:val="000000"/>
                <w:kern w:val="0"/>
                <w:sz w:val="22"/>
              </w:rPr>
            </w:pPr>
            <w:bookmarkStart w:id="1" w:name="OLE_LINK1"/>
            <w:r>
              <w:rPr>
                <w:rFonts w:hint="eastAsia" w:cs="宋体"/>
                <w:b w:val="0"/>
                <w:bCs/>
                <w:color w:val="000000"/>
                <w:kern w:val="0"/>
                <w:sz w:val="22"/>
              </w:rPr>
              <w:t>高性能计算管理平台</w:t>
            </w:r>
            <w:bookmarkEnd w:id="1"/>
          </w:p>
        </w:tc>
        <w:tc>
          <w:tcPr>
            <w:tcW w:w="1198" w:type="pct"/>
            <w:shd w:val="clear" w:color="auto" w:fill="FFFFFF"/>
          </w:tcPr>
          <w:p>
            <w:pPr>
              <w:widowControl/>
              <w:ind w:left="1280" w:hanging="440"/>
              <w:jc w:val="left"/>
              <w:textAlignment w:val="center"/>
              <w:rPr>
                <w:rFonts w:cs="宋体"/>
                <w:b w:val="0"/>
                <w:bCs/>
                <w:color w:val="000000"/>
                <w:kern w:val="0"/>
                <w:sz w:val="22"/>
              </w:rPr>
            </w:pPr>
            <w:r>
              <w:rPr>
                <w:rFonts w:cs="宋体"/>
                <w:b w:val="0"/>
                <w:bCs/>
                <w:color w:val="000000"/>
                <w:kern w:val="0"/>
                <w:sz w:val="22"/>
              </w:rPr>
              <w:t>1</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9"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5</w:t>
            </w:r>
          </w:p>
        </w:tc>
        <w:tc>
          <w:tcPr>
            <w:tcW w:w="1967"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搬迁服务</w:t>
            </w:r>
          </w:p>
        </w:tc>
        <w:tc>
          <w:tcPr>
            <w:tcW w:w="1198"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1</w:t>
            </w:r>
          </w:p>
        </w:tc>
        <w:tc>
          <w:tcPr>
            <w:tcW w:w="1406" w:type="pct"/>
            <w:shd w:val="clear" w:color="auto" w:fill="FFFFFF"/>
          </w:tcPr>
          <w:p>
            <w:pPr>
              <w:widowControl/>
              <w:ind w:left="1280" w:hanging="440"/>
              <w:jc w:val="left"/>
              <w:textAlignment w:val="center"/>
              <w:rPr>
                <w:rFonts w:cs="宋体"/>
                <w:b w:val="0"/>
                <w:bCs/>
                <w:color w:val="000000"/>
                <w:kern w:val="0"/>
                <w:sz w:val="22"/>
              </w:rPr>
            </w:pPr>
            <w:r>
              <w:rPr>
                <w:rFonts w:hint="eastAsia" w:cs="宋体"/>
                <w:b w:val="0"/>
                <w:bCs/>
                <w:color w:val="000000"/>
                <w:kern w:val="0"/>
                <w:sz w:val="22"/>
              </w:rPr>
              <w:t>项</w:t>
            </w:r>
          </w:p>
        </w:tc>
      </w:tr>
    </w:tbl>
    <w:p>
      <w:pPr>
        <w:rPr>
          <w:lang w:val="zh-CN"/>
        </w:rPr>
      </w:pPr>
    </w:p>
    <w:p>
      <w:pPr>
        <w:pStyle w:val="2"/>
        <w:numPr>
          <w:ilvl w:val="0"/>
          <w:numId w:val="3"/>
        </w:numPr>
        <w:spacing w:before="0" w:after="0"/>
        <w:rPr>
          <w:rFonts w:ascii="宋体" w:hAnsi="宋体"/>
          <w:sz w:val="32"/>
          <w:szCs w:val="32"/>
        </w:rPr>
      </w:pPr>
      <w:r>
        <w:rPr>
          <w:rFonts w:hint="eastAsia" w:ascii="宋体" w:hAnsi="宋体"/>
          <w:sz w:val="32"/>
          <w:szCs w:val="32"/>
        </w:rPr>
        <w:t>详细配置参数</w:t>
      </w:r>
      <w:bookmarkStart w:id="2" w:name="_6.1.1、大数据服务器"/>
      <w:bookmarkEnd w:id="2"/>
    </w:p>
    <w:p>
      <w:pPr>
        <w:pStyle w:val="71"/>
        <w:spacing w:before="156" w:after="156"/>
      </w:pPr>
      <w:bookmarkStart w:id="3" w:name="_6.1.2、容器服务器"/>
      <w:bookmarkEnd w:id="3"/>
      <w:r>
        <w:rPr>
          <w:rFonts w:hint="eastAsia"/>
          <w:lang w:val="en-US" w:eastAsia="zh-CN"/>
        </w:rPr>
        <w:t>3.</w:t>
      </w:r>
      <w:r>
        <w:rPr>
          <w:rFonts w:hint="default"/>
          <w:lang w:val="en-US" w:eastAsia="zh-CN"/>
        </w:rPr>
        <w:t>1</w:t>
      </w:r>
      <w:r>
        <w:rPr>
          <w:rFonts w:hint="eastAsia"/>
          <w:lang w:val="en-US" w:eastAsia="zh-CN"/>
        </w:rPr>
        <w:t>、</w:t>
      </w:r>
      <w:r>
        <w:rPr>
          <w:rFonts w:hint="eastAsia"/>
        </w:rPr>
        <w:t>G</w:t>
      </w:r>
      <w:r>
        <w:t>PU服务器</w:t>
      </w:r>
    </w:p>
    <w:tbl>
      <w:tblPr>
        <w:tblStyle w:val="22"/>
        <w:tblW w:w="9210" w:type="dxa"/>
        <w:tblInd w:w="96" w:type="dxa"/>
        <w:tblLayout w:type="autofit"/>
        <w:tblCellMar>
          <w:top w:w="0" w:type="dxa"/>
          <w:left w:w="108" w:type="dxa"/>
          <w:bottom w:w="0" w:type="dxa"/>
          <w:right w:w="108" w:type="dxa"/>
        </w:tblCellMar>
      </w:tblPr>
      <w:tblGrid>
        <w:gridCol w:w="960"/>
        <w:gridCol w:w="1630"/>
        <w:gridCol w:w="6620"/>
      </w:tblGrid>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序号</w:t>
            </w:r>
          </w:p>
        </w:tc>
        <w:tc>
          <w:tcPr>
            <w:tcW w:w="16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指标项</w:t>
            </w:r>
          </w:p>
        </w:tc>
        <w:tc>
          <w:tcPr>
            <w:tcW w:w="66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技术规格要求</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val="en-US" w:eastAsia="zh-CN"/>
              </w:rPr>
            </w:pPr>
            <w:r>
              <w:rPr>
                <w:rFonts w:hint="eastAsia" w:ascii="宋体" w:hAnsi="宋体"/>
                <w:bCs/>
                <w:szCs w:val="21"/>
                <w:lang w:val="en-US" w:eastAsia="zh-CN"/>
              </w:rPr>
              <w:t>品牌</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bCs/>
                <w:szCs w:val="21"/>
              </w:rPr>
            </w:pPr>
            <w:r>
              <w:rPr>
                <w:rFonts w:hint="eastAsia" w:ascii="宋体" w:hAnsi="宋体" w:eastAsia="宋体" w:cs="Times New Roman"/>
                <w:bCs/>
                <w:i w:val="0"/>
                <w:kern w:val="2"/>
                <w:sz w:val="21"/>
                <w:szCs w:val="21"/>
                <w:u w:val="none"/>
                <w:lang w:val="en-US" w:eastAsia="zh-CN" w:bidi="ar"/>
              </w:rPr>
              <w:t>国</w:t>
            </w:r>
            <w:r>
              <w:rPr>
                <w:rFonts w:hint="eastAsia" w:ascii="宋体" w:hAnsi="宋体" w:cs="Times New Roman"/>
                <w:bCs/>
                <w:i w:val="0"/>
                <w:kern w:val="2"/>
                <w:sz w:val="21"/>
                <w:szCs w:val="21"/>
                <w:u w:val="none"/>
                <w:lang w:val="en-US" w:eastAsia="zh-CN" w:bidi="ar"/>
              </w:rPr>
              <w:t>内外</w:t>
            </w:r>
            <w:r>
              <w:rPr>
                <w:rFonts w:hint="eastAsia" w:ascii="宋体" w:hAnsi="宋体" w:eastAsia="宋体" w:cs="Times New Roman"/>
                <w:bCs/>
                <w:i w:val="0"/>
                <w:kern w:val="2"/>
                <w:sz w:val="21"/>
                <w:szCs w:val="21"/>
                <w:u w:val="none"/>
                <w:lang w:val="en-US" w:eastAsia="zh-CN" w:bidi="ar"/>
              </w:rPr>
              <w:t>知名品牌。</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val="en-US" w:eastAsia="zh-CN"/>
              </w:rPr>
            </w:pPr>
            <w:r>
              <w:rPr>
                <w:rFonts w:hint="eastAsia" w:ascii="宋体" w:hAnsi="宋体"/>
                <w:bCs/>
                <w:szCs w:val="21"/>
              </w:rPr>
              <w:t>服务器高度</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w:t>
            </w:r>
            <w:r>
              <w:rPr>
                <w:rFonts w:hint="eastAsia" w:ascii="宋体" w:hAnsi="宋体"/>
                <w:bCs/>
                <w:szCs w:val="21"/>
                <w:lang w:val="en-US" w:eastAsia="zh-CN"/>
              </w:rPr>
              <w:t>标准</w:t>
            </w:r>
            <w:r>
              <w:rPr>
                <w:rFonts w:ascii="宋体" w:hAnsi="宋体"/>
                <w:bCs/>
                <w:szCs w:val="21"/>
              </w:rPr>
              <w:t>4</w:t>
            </w:r>
            <w:r>
              <w:rPr>
                <w:rFonts w:hint="eastAsia" w:ascii="宋体" w:hAnsi="宋体"/>
                <w:bCs/>
                <w:szCs w:val="21"/>
              </w:rPr>
              <w:t>U机架式</w:t>
            </w:r>
            <w:r>
              <w:rPr>
                <w:rFonts w:hint="eastAsia" w:ascii="宋体" w:hAnsi="宋体"/>
                <w:bCs/>
                <w:szCs w:val="21"/>
                <w:lang w:val="en-US" w:eastAsia="zh-CN"/>
              </w:rPr>
              <w:t>服务器</w:t>
            </w:r>
            <w:r>
              <w:rPr>
                <w:rFonts w:hint="eastAsia" w:ascii="宋体" w:hAnsi="宋体"/>
                <w:bCs/>
                <w:szCs w:val="21"/>
              </w:rPr>
              <w:t>，标配原厂导轨</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lang w:val="en-US" w:eastAsia="zh-CN"/>
              </w:rPr>
              <w:t>芯片组</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lang w:val="en-US" w:eastAsia="zh-CN"/>
              </w:rPr>
              <w:t>不低于</w:t>
            </w:r>
            <w:r>
              <w:rPr>
                <w:rFonts w:hint="eastAsia" w:ascii="宋体" w:hAnsi="宋体"/>
                <w:bCs/>
                <w:szCs w:val="21"/>
              </w:rPr>
              <w:t>Intel C740 系列芯片组芯片组，支持Intel至强可扩展处理器家族铜牌、银牌、金牌及铂金处理器产品。</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处理器型号</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配置≥两颗Intel至强可扩展处理器</w:t>
            </w:r>
            <w:r>
              <w:rPr>
                <w:rFonts w:hint="eastAsia" w:ascii="宋体" w:hAnsi="宋体"/>
                <w:bCs/>
                <w:szCs w:val="21"/>
                <w:lang w:eastAsia="zh-CN"/>
              </w:rPr>
              <w:t>，</w:t>
            </w:r>
            <w:r>
              <w:rPr>
                <w:rFonts w:hint="eastAsia" w:ascii="宋体" w:hAnsi="宋体"/>
                <w:bCs/>
                <w:szCs w:val="21"/>
                <w:lang w:val="en-US" w:eastAsia="zh-CN"/>
              </w:rPr>
              <w:t>单个Intel至强处理器</w:t>
            </w:r>
            <w:r>
              <w:rPr>
                <w:rFonts w:hint="eastAsia" w:ascii="宋体" w:hAnsi="宋体"/>
                <w:bCs/>
                <w:szCs w:val="21"/>
              </w:rPr>
              <w:t>主频≥2.1GHz</w:t>
            </w:r>
            <w:r>
              <w:rPr>
                <w:rFonts w:hint="eastAsia" w:ascii="宋体" w:hAnsi="宋体"/>
                <w:bCs/>
                <w:szCs w:val="21"/>
                <w:lang w:eastAsia="zh-CN"/>
              </w:rPr>
              <w:t>，</w:t>
            </w:r>
            <w:r>
              <w:rPr>
                <w:rFonts w:hint="eastAsia" w:ascii="宋体" w:hAnsi="宋体"/>
                <w:bCs/>
                <w:szCs w:val="21"/>
              </w:rPr>
              <w:t>≥</w:t>
            </w:r>
            <w:r>
              <w:rPr>
                <w:rFonts w:hint="eastAsia" w:ascii="宋体" w:hAnsi="宋体"/>
                <w:bCs/>
                <w:szCs w:val="21"/>
                <w:lang w:val="en-US" w:eastAsia="zh-CN"/>
              </w:rPr>
              <w:t>32核64线程，</w:t>
            </w:r>
            <w:r>
              <w:rPr>
                <w:rFonts w:hint="eastAsia" w:ascii="宋体" w:hAnsi="宋体"/>
                <w:bCs/>
                <w:szCs w:val="21"/>
              </w:rPr>
              <w:t>270W</w:t>
            </w:r>
            <w:r>
              <w:rPr>
                <w:rFonts w:hint="eastAsia" w:ascii="宋体" w:hAnsi="宋体"/>
                <w:bCs/>
                <w:szCs w:val="21"/>
                <w:lang w:eastAsia="zh-CN"/>
              </w:rPr>
              <w:t>，</w:t>
            </w:r>
            <w:r>
              <w:rPr>
                <w:rFonts w:hint="eastAsia" w:ascii="宋体" w:hAnsi="宋体"/>
                <w:bCs/>
                <w:szCs w:val="21"/>
                <w:lang w:val="en-US" w:eastAsia="zh-CN"/>
              </w:rPr>
              <w:t>L3缓存</w:t>
            </w:r>
            <w:r>
              <w:rPr>
                <w:rFonts w:hint="eastAsia" w:ascii="宋体" w:hAnsi="宋体"/>
                <w:bCs/>
                <w:szCs w:val="21"/>
              </w:rPr>
              <w:t>≥60MB</w:t>
            </w:r>
            <w:r>
              <w:rPr>
                <w:rFonts w:hint="eastAsia" w:ascii="宋体" w:hAnsi="宋体"/>
                <w:bCs/>
                <w:szCs w:val="21"/>
                <w:lang w:val="en-US"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5</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内存实配规格</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≥16*64GB</w:t>
            </w:r>
            <w:r>
              <w:rPr>
                <w:rFonts w:hint="eastAsia" w:ascii="宋体" w:hAnsi="宋体"/>
                <w:bCs/>
                <w:szCs w:val="21"/>
                <w:lang w:val="en-US" w:eastAsia="zh-CN"/>
              </w:rPr>
              <w:t xml:space="preserve"> </w:t>
            </w:r>
            <w:r>
              <w:rPr>
                <w:rFonts w:hint="eastAsia" w:ascii="宋体" w:hAnsi="宋体"/>
                <w:bCs/>
                <w:szCs w:val="21"/>
              </w:rPr>
              <w:t>DDR4</w:t>
            </w:r>
            <w:r>
              <w:rPr>
                <w:rFonts w:hint="eastAsia" w:ascii="宋体" w:hAnsi="宋体"/>
                <w:bCs/>
                <w:szCs w:val="21"/>
                <w:lang w:val="en-US" w:eastAsia="zh-CN"/>
              </w:rPr>
              <w:t xml:space="preserve"> 48</w:t>
            </w:r>
            <w:r>
              <w:rPr>
                <w:rFonts w:hint="eastAsia" w:ascii="宋体" w:hAnsi="宋体"/>
                <w:bCs/>
                <w:szCs w:val="21"/>
              </w:rPr>
              <w:t>00MHz</w:t>
            </w:r>
            <w:r>
              <w:rPr>
                <w:rFonts w:hint="eastAsia" w:ascii="宋体" w:hAnsi="宋体"/>
                <w:bCs/>
                <w:szCs w:val="21"/>
                <w:lang w:val="en-US" w:eastAsia="zh-CN"/>
              </w:rPr>
              <w:t>(4800MT/s)</w:t>
            </w:r>
            <w:r>
              <w:rPr>
                <w:rFonts w:hint="eastAsia" w:ascii="宋体" w:hAnsi="宋体"/>
                <w:bCs/>
                <w:szCs w:val="21"/>
              </w:rPr>
              <w:t xml:space="preserve"> </w:t>
            </w:r>
            <w:r>
              <w:rPr>
                <w:rFonts w:hint="eastAsia" w:ascii="宋体" w:hAnsi="宋体"/>
                <w:bCs/>
                <w:szCs w:val="21"/>
                <w:lang w:val="en-US" w:eastAsia="zh-CN"/>
              </w:rPr>
              <w:t>RDIMM。</w:t>
            </w:r>
          </w:p>
        </w:tc>
      </w:tr>
      <w:tr>
        <w:tblPrEx>
          <w:tblCellMar>
            <w:top w:w="0" w:type="dxa"/>
            <w:left w:w="108" w:type="dxa"/>
            <w:bottom w:w="0" w:type="dxa"/>
            <w:right w:w="108" w:type="dxa"/>
          </w:tblCellMar>
        </w:tblPrEx>
        <w:trPr>
          <w:cantSplit/>
          <w:trHeight w:val="90"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6</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内存可扩展数量</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Times New Roman"/>
                <w:bCs/>
                <w:kern w:val="2"/>
                <w:sz w:val="21"/>
                <w:szCs w:val="21"/>
                <w:lang w:val="en-US" w:eastAsia="zh-CN" w:bidi="ar-SA"/>
              </w:rPr>
            </w:pPr>
            <w:r>
              <w:rPr>
                <w:rFonts w:hint="eastAsia" w:ascii="宋体" w:hAnsi="宋体"/>
                <w:bCs/>
                <w:szCs w:val="21"/>
              </w:rPr>
              <w:t>支持≥32个</w:t>
            </w:r>
            <w:r>
              <w:rPr>
                <w:rFonts w:hint="eastAsia" w:ascii="宋体" w:hAnsi="宋体"/>
                <w:bCs/>
                <w:szCs w:val="21"/>
                <w:lang w:val="en-US" w:eastAsia="zh-CN"/>
              </w:rPr>
              <w:t xml:space="preserve">DDR4 </w:t>
            </w:r>
            <w:r>
              <w:rPr>
                <w:rFonts w:hint="eastAsia" w:ascii="宋体" w:hAnsi="宋体"/>
                <w:bCs/>
                <w:szCs w:val="21"/>
              </w:rPr>
              <w:t>RDIMM或LRDIMM内存插槽，速率最高支持4800MT/s</w:t>
            </w:r>
            <w:r>
              <w:rPr>
                <w:rFonts w:hint="eastAsia" w:ascii="宋体" w:hAnsi="宋体"/>
                <w:bCs/>
                <w:szCs w:val="21"/>
                <w:lang w:eastAsia="zh-CN"/>
              </w:rPr>
              <w:t>，</w:t>
            </w:r>
            <w:r>
              <w:rPr>
                <w:rFonts w:hint="eastAsia" w:ascii="宋体" w:hAnsi="宋体"/>
                <w:bCs/>
                <w:szCs w:val="21"/>
                <w:lang w:val="en-US" w:eastAsia="zh-CN"/>
              </w:rPr>
              <w:t>支持六通道配置。</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7</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存储-</w:t>
            </w:r>
            <w:r>
              <w:rPr>
                <w:rFonts w:hint="eastAsia" w:ascii="宋体" w:hAnsi="宋体"/>
                <w:bCs/>
                <w:szCs w:val="21"/>
                <w:lang w:val="en-US" w:eastAsia="zh-CN"/>
              </w:rPr>
              <w:t>硬盘</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
                <w:bCs/>
                <w:szCs w:val="21"/>
                <w:lang w:eastAsia="zh-CN"/>
              </w:rPr>
            </w:pPr>
            <w:r>
              <w:rPr>
                <w:rFonts w:hint="eastAsia" w:ascii="宋体" w:hAnsi="宋体"/>
                <w:bCs/>
                <w:szCs w:val="21"/>
              </w:rPr>
              <w:t>≥8</w:t>
            </w:r>
            <w:r>
              <w:rPr>
                <w:rFonts w:hint="eastAsia" w:ascii="宋体" w:hAnsi="宋体"/>
                <w:bCs/>
                <w:szCs w:val="21"/>
                <w:lang w:val="en-US" w:eastAsia="zh-CN"/>
              </w:rPr>
              <w:t>*</w:t>
            </w:r>
            <w:r>
              <w:rPr>
                <w:rFonts w:hint="eastAsia" w:ascii="宋体" w:hAnsi="宋体"/>
                <w:bCs/>
                <w:szCs w:val="21"/>
              </w:rPr>
              <w:t>3.84TB</w:t>
            </w:r>
            <w:r>
              <w:rPr>
                <w:rFonts w:hint="eastAsia" w:ascii="宋体" w:hAnsi="宋体"/>
                <w:bCs/>
                <w:szCs w:val="21"/>
                <w:lang w:val="en-US" w:eastAsia="zh-CN"/>
              </w:rPr>
              <w:t xml:space="preserve"> 2.5英寸 </w:t>
            </w:r>
            <w:r>
              <w:rPr>
                <w:rFonts w:hint="eastAsia" w:ascii="宋体" w:hAnsi="宋体"/>
                <w:bCs/>
                <w:szCs w:val="21"/>
              </w:rPr>
              <w:t>SATA</w:t>
            </w:r>
            <w:r>
              <w:rPr>
                <w:rFonts w:hint="eastAsia" w:ascii="宋体" w:hAnsi="宋体"/>
                <w:bCs/>
                <w:szCs w:val="21"/>
                <w:lang w:val="en-US" w:eastAsia="zh-CN"/>
              </w:rPr>
              <w:t xml:space="preserve"> </w:t>
            </w:r>
            <w:r>
              <w:rPr>
                <w:rFonts w:hint="eastAsia" w:ascii="宋体" w:hAnsi="宋体"/>
                <w:bCs/>
                <w:szCs w:val="21"/>
              </w:rPr>
              <w:t>6G</w:t>
            </w:r>
            <w:r>
              <w:rPr>
                <w:rFonts w:hint="eastAsia" w:ascii="宋体" w:hAnsi="宋体"/>
                <w:bCs/>
                <w:szCs w:val="21"/>
                <w:lang w:val="en-US" w:eastAsia="zh-CN"/>
              </w:rPr>
              <w:t>b/s企业级固态</w:t>
            </w:r>
            <w:r>
              <w:rPr>
                <w:rFonts w:hint="eastAsia" w:ascii="宋体" w:hAnsi="宋体"/>
                <w:bCs/>
                <w:szCs w:val="21"/>
              </w:rPr>
              <w:t>硬盘</w:t>
            </w:r>
            <w:r>
              <w:rPr>
                <w:rFonts w:hint="eastAsia" w:ascii="宋体" w:hAnsi="宋体"/>
                <w:bCs/>
                <w:szCs w:val="21"/>
                <w:lang w:eastAsia="zh-CN"/>
              </w:rPr>
              <w:t>，</w:t>
            </w:r>
            <w:r>
              <w:rPr>
                <w:rFonts w:hint="eastAsia" w:ascii="宋体" w:hAnsi="宋体"/>
                <w:bCs/>
                <w:szCs w:val="21"/>
                <w:lang w:val="en-US" w:eastAsia="zh-CN"/>
              </w:rPr>
              <w:t>配置相同数量的硬盘托架。</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8</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存储-阵列控制器</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w:t>
            </w:r>
            <w:r>
              <w:rPr>
                <w:rFonts w:hint="eastAsia" w:ascii="宋体" w:hAnsi="宋体"/>
                <w:bCs/>
                <w:szCs w:val="21"/>
                <w:lang w:val="en-US" w:eastAsia="zh-CN"/>
              </w:rPr>
              <w:t>1张12Gb PCIe 配</w:t>
            </w:r>
            <w:r>
              <w:rPr>
                <w:rFonts w:hint="eastAsia" w:ascii="宋体" w:hAnsi="宋体"/>
                <w:bCs/>
                <w:szCs w:val="21"/>
              </w:rPr>
              <w:t>2GB闪存</w:t>
            </w:r>
            <w:r>
              <w:rPr>
                <w:rFonts w:hint="eastAsia" w:ascii="宋体" w:hAnsi="宋体"/>
                <w:bCs/>
                <w:szCs w:val="21"/>
                <w:lang w:val="en-US" w:eastAsia="zh-CN"/>
              </w:rPr>
              <w:t xml:space="preserve"> 阵列卡，</w:t>
            </w:r>
            <w:r>
              <w:rPr>
                <w:rFonts w:hint="eastAsia" w:ascii="宋体" w:hAnsi="宋体"/>
                <w:bCs/>
                <w:szCs w:val="21"/>
              </w:rPr>
              <w:t>支持0/1/5</w:t>
            </w:r>
            <w:r>
              <w:rPr>
                <w:rFonts w:hint="eastAsia" w:ascii="宋体" w:hAnsi="宋体"/>
                <w:bCs/>
                <w:szCs w:val="21"/>
                <w:lang w:val="en-US" w:eastAsia="zh-CN"/>
              </w:rPr>
              <w:t>/</w:t>
            </w:r>
            <w:r>
              <w:rPr>
                <w:rFonts w:hint="eastAsia" w:ascii="宋体" w:hAnsi="宋体"/>
                <w:bCs/>
                <w:szCs w:val="21"/>
              </w:rPr>
              <w:t>10/50 RAID级别，可选RAID 6/60, 最大支持4GB闪存，</w:t>
            </w:r>
            <w:r>
              <w:rPr>
                <w:rFonts w:hint="eastAsia" w:ascii="宋体" w:hAnsi="宋体"/>
                <w:bCs/>
                <w:szCs w:val="21"/>
                <w:lang w:val="en-US" w:eastAsia="zh-CN"/>
              </w:rPr>
              <w:t>支持</w:t>
            </w:r>
            <w:r>
              <w:rPr>
                <w:rFonts w:hint="eastAsia" w:ascii="宋体" w:hAnsi="宋体"/>
                <w:bCs/>
                <w:szCs w:val="21"/>
              </w:rPr>
              <w:t>缓存数据保护，配置掉电保护模块</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9</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ascii="宋体" w:hAnsi="宋体"/>
                <w:bCs/>
                <w:szCs w:val="21"/>
              </w:rPr>
              <w:t xml:space="preserve">GPU </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ascii="宋体" w:hAnsi="宋体"/>
                <w:bCs/>
                <w:szCs w:val="21"/>
              </w:rPr>
              <w:t>配置</w:t>
            </w:r>
            <w:bookmarkStart w:id="4" w:name="_GoBack"/>
            <w:bookmarkEnd w:id="4"/>
            <w:r>
              <w:rPr>
                <w:rFonts w:hint="eastAsia" w:ascii="宋体" w:hAnsi="宋体"/>
                <w:bCs/>
                <w:szCs w:val="21"/>
              </w:rPr>
              <w:t>≥8</w:t>
            </w:r>
            <w:r>
              <w:rPr>
                <w:rFonts w:hint="eastAsia" w:ascii="宋体" w:hAnsi="宋体"/>
                <w:bCs/>
                <w:szCs w:val="21"/>
                <w:lang w:val="en-US" w:eastAsia="zh-CN"/>
              </w:rPr>
              <w:t>*</w:t>
            </w:r>
            <w:r>
              <w:rPr>
                <w:rFonts w:hint="eastAsia" w:ascii="宋体" w:hAnsi="宋体"/>
                <w:bCs/>
                <w:szCs w:val="21"/>
              </w:rPr>
              <w:t>4</w:t>
            </w:r>
            <w:r>
              <w:rPr>
                <w:rFonts w:ascii="宋体" w:hAnsi="宋体"/>
                <w:bCs/>
                <w:szCs w:val="21"/>
              </w:rPr>
              <w:t>8GB</w:t>
            </w:r>
            <w:r>
              <w:rPr>
                <w:rFonts w:hint="eastAsia" w:ascii="宋体" w:hAnsi="宋体"/>
                <w:bCs/>
                <w:szCs w:val="21"/>
                <w:lang w:val="en-US" w:eastAsia="zh-CN"/>
              </w:rPr>
              <w:t xml:space="preserve"> GDDR6 w/ECC</w:t>
            </w:r>
            <w:r>
              <w:rPr>
                <w:rFonts w:ascii="宋体" w:hAnsi="宋体"/>
                <w:bCs/>
                <w:szCs w:val="21"/>
              </w:rPr>
              <w:t xml:space="preserve"> GPU，单卡</w:t>
            </w:r>
            <w:r>
              <w:rPr>
                <w:rFonts w:hint="eastAsia" w:ascii="宋体" w:hAnsi="宋体"/>
                <w:bCs/>
                <w:szCs w:val="21"/>
              </w:rPr>
              <w:t>F</w:t>
            </w:r>
            <w:r>
              <w:rPr>
                <w:rFonts w:ascii="宋体" w:hAnsi="宋体"/>
                <w:bCs/>
                <w:szCs w:val="21"/>
              </w:rPr>
              <w:t>P32值</w:t>
            </w:r>
            <w:r>
              <w:rPr>
                <w:rFonts w:hint="eastAsia" w:ascii="宋体" w:hAnsi="宋体"/>
                <w:bCs/>
                <w:szCs w:val="21"/>
              </w:rPr>
              <w:t>≥9</w:t>
            </w:r>
            <w:r>
              <w:rPr>
                <w:rFonts w:ascii="宋体" w:hAnsi="宋体"/>
                <w:bCs/>
                <w:szCs w:val="21"/>
              </w:rPr>
              <w:t>1.6 TFLOPS</w:t>
            </w:r>
            <w:r>
              <w:rPr>
                <w:rFonts w:hint="eastAsia" w:ascii="宋体" w:hAnsi="宋体"/>
                <w:bCs/>
                <w:szCs w:val="21"/>
                <w:lang w:eastAsia="zh-CN"/>
              </w:rPr>
              <w:t>、</w:t>
            </w:r>
            <w:r>
              <w:rPr>
                <w:rFonts w:hint="eastAsia" w:ascii="宋体" w:hAnsi="宋体"/>
                <w:bCs/>
                <w:szCs w:val="21"/>
                <w:lang w:val="en-US" w:eastAsia="zh-CN"/>
              </w:rPr>
              <w:t>RT Core值</w:t>
            </w:r>
            <w:r>
              <w:rPr>
                <w:rFonts w:hint="eastAsia" w:ascii="宋体" w:hAnsi="宋体"/>
                <w:bCs/>
                <w:szCs w:val="21"/>
              </w:rPr>
              <w:t>≥212</w:t>
            </w:r>
            <w:r>
              <w:rPr>
                <w:rFonts w:hint="eastAsia" w:ascii="宋体" w:hAnsi="宋体"/>
                <w:bCs/>
                <w:szCs w:val="21"/>
                <w:lang w:val="en-US" w:eastAsia="zh-CN"/>
              </w:rPr>
              <w:t>.0</w:t>
            </w:r>
            <w:r>
              <w:rPr>
                <w:rFonts w:hint="eastAsia" w:ascii="宋体" w:hAnsi="宋体"/>
                <w:bCs/>
                <w:szCs w:val="21"/>
              </w:rPr>
              <w:t xml:space="preserve"> TFLOPS</w:t>
            </w:r>
            <w:r>
              <w:rPr>
                <w:rFonts w:hint="eastAsia" w:ascii="宋体" w:hAnsi="宋体"/>
                <w:bCs/>
                <w:szCs w:val="21"/>
                <w:lang w:eastAsia="zh-CN"/>
              </w:rPr>
              <w:t>、</w:t>
            </w:r>
            <w:r>
              <w:rPr>
                <w:rFonts w:hint="eastAsia" w:ascii="宋体" w:hAnsi="宋体"/>
                <w:bCs/>
                <w:szCs w:val="21"/>
              </w:rPr>
              <w:t>TF32 Tensor Core</w:t>
            </w:r>
            <w:r>
              <w:rPr>
                <w:rFonts w:hint="eastAsia" w:ascii="宋体" w:hAnsi="宋体"/>
                <w:bCs/>
                <w:szCs w:val="21"/>
                <w:lang w:val="en-US" w:eastAsia="zh-CN"/>
              </w:rPr>
              <w:t>值</w:t>
            </w:r>
            <w:r>
              <w:rPr>
                <w:rFonts w:hint="eastAsia" w:ascii="宋体" w:hAnsi="宋体"/>
                <w:bCs/>
                <w:szCs w:val="21"/>
              </w:rPr>
              <w:t>≥366</w:t>
            </w:r>
            <w:r>
              <w:rPr>
                <w:rFonts w:hint="eastAsia" w:ascii="宋体" w:hAnsi="宋体"/>
                <w:bCs/>
                <w:szCs w:val="21"/>
                <w:lang w:val="en-US" w:eastAsia="zh-CN"/>
              </w:rPr>
              <w:t>.0</w:t>
            </w:r>
            <w:r>
              <w:rPr>
                <w:rFonts w:hint="eastAsia" w:ascii="宋体" w:hAnsi="宋体"/>
                <w:bCs/>
                <w:szCs w:val="21"/>
              </w:rPr>
              <w:t xml:space="preserve"> TFLOPS</w:t>
            </w:r>
            <w:r>
              <w:rPr>
                <w:rFonts w:hint="eastAsia" w:ascii="宋体" w:hAnsi="宋体"/>
                <w:bCs/>
                <w:szCs w:val="21"/>
                <w:lang w:eastAsia="zh-CN"/>
              </w:rPr>
              <w:t>、</w:t>
            </w:r>
            <w:r>
              <w:rPr>
                <w:rFonts w:hint="eastAsia" w:ascii="宋体" w:hAnsi="宋体"/>
                <w:bCs/>
                <w:szCs w:val="21"/>
                <w:lang w:val="en-US" w:eastAsia="zh-CN"/>
              </w:rPr>
              <w:t>TGP≤350W。</w:t>
            </w:r>
          </w:p>
        </w:tc>
      </w:tr>
      <w:tr>
        <w:tblPrEx>
          <w:tblCellMar>
            <w:top w:w="0" w:type="dxa"/>
            <w:left w:w="108" w:type="dxa"/>
            <w:bottom w:w="0" w:type="dxa"/>
            <w:right w:w="108" w:type="dxa"/>
          </w:tblCellMar>
        </w:tblPrEx>
        <w:trPr>
          <w:cantSplit/>
          <w:trHeight w:val="90"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10</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网卡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lang w:val="en-US" w:eastAsia="zh-CN"/>
              </w:rPr>
              <w:t>配置</w:t>
            </w:r>
            <w:r>
              <w:rPr>
                <w:rFonts w:hint="eastAsia" w:ascii="宋体" w:hAnsi="宋体"/>
                <w:bCs/>
                <w:szCs w:val="21"/>
              </w:rPr>
              <w:t>≥</w:t>
            </w:r>
            <w:r>
              <w:rPr>
                <w:rFonts w:hint="eastAsia" w:ascii="宋体" w:hAnsi="宋体"/>
                <w:bCs/>
                <w:szCs w:val="21"/>
                <w:lang w:val="en-US" w:eastAsia="zh-CN"/>
              </w:rPr>
              <w:t>2</w:t>
            </w:r>
            <w:r>
              <w:rPr>
                <w:rFonts w:hint="eastAsia" w:ascii="宋体" w:hAnsi="宋体"/>
                <w:bCs/>
                <w:szCs w:val="21"/>
              </w:rPr>
              <w:t>个</w:t>
            </w:r>
            <w:r>
              <w:rPr>
                <w:rFonts w:hint="eastAsia" w:ascii="宋体" w:hAnsi="宋体"/>
                <w:bCs/>
                <w:szCs w:val="21"/>
                <w:lang w:val="en-US" w:eastAsia="zh-CN"/>
              </w:rPr>
              <w:t xml:space="preserve">10Gb </w:t>
            </w:r>
            <w:r>
              <w:rPr>
                <w:rFonts w:hint="eastAsia" w:ascii="宋体" w:hAnsi="宋体"/>
                <w:bCs/>
                <w:szCs w:val="21"/>
              </w:rPr>
              <w:t>S</w:t>
            </w:r>
            <w:r>
              <w:rPr>
                <w:rFonts w:ascii="宋体" w:hAnsi="宋体"/>
                <w:bCs/>
                <w:szCs w:val="21"/>
              </w:rPr>
              <w:t>FP+</w:t>
            </w:r>
            <w:r>
              <w:rPr>
                <w:rFonts w:hint="eastAsia" w:ascii="宋体" w:hAnsi="宋体"/>
                <w:bCs/>
                <w:szCs w:val="21"/>
                <w:lang w:val="en-US" w:eastAsia="zh-CN"/>
              </w:rPr>
              <w:t>光模块，</w:t>
            </w:r>
            <w:r>
              <w:rPr>
                <w:rFonts w:hint="eastAsia" w:ascii="宋体" w:hAnsi="宋体"/>
                <w:bCs/>
                <w:szCs w:val="21"/>
              </w:rPr>
              <w:t>≥</w:t>
            </w:r>
            <w:r>
              <w:rPr>
                <w:rFonts w:hint="eastAsia" w:ascii="宋体" w:hAnsi="宋体"/>
                <w:bCs/>
                <w:szCs w:val="21"/>
                <w:lang w:val="en-US" w:eastAsia="zh-CN"/>
              </w:rPr>
              <w:t>4</w:t>
            </w:r>
            <w:r>
              <w:rPr>
                <w:rFonts w:hint="eastAsia" w:ascii="宋体" w:hAnsi="宋体"/>
                <w:bCs/>
                <w:szCs w:val="21"/>
              </w:rPr>
              <w:t>个</w:t>
            </w:r>
            <w:r>
              <w:rPr>
                <w:rFonts w:hint="eastAsia" w:ascii="宋体" w:hAnsi="宋体"/>
                <w:bCs/>
                <w:szCs w:val="21"/>
                <w:lang w:val="en-US" w:eastAsia="zh-CN"/>
              </w:rPr>
              <w:t xml:space="preserve"> 1GE接口。</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bCs/>
                <w:szCs w:val="21"/>
                <w:lang w:val="en-US" w:eastAsia="zh-CN"/>
              </w:rPr>
            </w:pPr>
            <w:r>
              <w:rPr>
                <w:rFonts w:hint="eastAsia" w:ascii="宋体" w:hAnsi="宋体"/>
                <w:bCs/>
                <w:szCs w:val="21"/>
                <w:lang w:val="en-US" w:eastAsia="zh-CN"/>
              </w:rPr>
              <w:t>IB卡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1个</w:t>
            </w:r>
            <w:r>
              <w:rPr>
                <w:rFonts w:hint="eastAsia" w:ascii="宋体" w:hAnsi="宋体"/>
                <w:bCs/>
                <w:color w:val="000000" w:themeColor="text1"/>
                <w:szCs w:val="21"/>
                <w14:textFill>
                  <w14:solidFill>
                    <w14:schemeClr w14:val="tx1"/>
                  </w14:solidFill>
                </w14:textFill>
              </w:rPr>
              <w:t>2口100Gb Infiniband HDR/Ethernet适配卡(支持QSFP56光模块)。</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eastAsia="宋体" w:cs="Times New Roman"/>
                <w:bCs/>
                <w:sz w:val="21"/>
                <w:szCs w:val="21"/>
              </w:rPr>
              <w:t>电源产品认证</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val="en-US" w:eastAsia="zh-CN"/>
              </w:rPr>
            </w:pPr>
            <w:r>
              <w:rPr>
                <w:rFonts w:hint="eastAsia" w:ascii="宋体" w:hAnsi="宋体"/>
                <w:bCs/>
                <w:szCs w:val="21"/>
              </w:rPr>
              <w:t>≥</w:t>
            </w:r>
            <w:r>
              <w:rPr>
                <w:rFonts w:ascii="宋体" w:hAnsi="宋体"/>
                <w:bCs/>
                <w:szCs w:val="21"/>
              </w:rPr>
              <w:t>4</w:t>
            </w:r>
            <w:r>
              <w:rPr>
                <w:rFonts w:hint="eastAsia" w:ascii="宋体" w:hAnsi="宋体"/>
                <w:bCs/>
                <w:szCs w:val="21"/>
              </w:rPr>
              <w:t>个2</w:t>
            </w:r>
            <w:r>
              <w:rPr>
                <w:rFonts w:ascii="宋体" w:hAnsi="宋体"/>
                <w:bCs/>
                <w:szCs w:val="21"/>
              </w:rPr>
              <w:t>4</w:t>
            </w:r>
            <w:r>
              <w:rPr>
                <w:rFonts w:hint="eastAsia" w:ascii="宋体" w:hAnsi="宋体"/>
                <w:bCs/>
                <w:szCs w:val="21"/>
              </w:rPr>
              <w:t>00</w:t>
            </w:r>
            <w:r>
              <w:rPr>
                <w:rFonts w:hint="eastAsia" w:ascii="宋体" w:hAnsi="宋体"/>
                <w:bCs/>
                <w:szCs w:val="21"/>
                <w:lang w:val="en-US" w:eastAsia="zh-CN"/>
              </w:rPr>
              <w:t>W 100-240VAC或240HVDC 80+白金牌</w:t>
            </w:r>
            <w:r>
              <w:rPr>
                <w:rFonts w:hint="eastAsia" w:ascii="宋体" w:hAnsi="宋体"/>
                <w:bCs/>
                <w:szCs w:val="21"/>
              </w:rPr>
              <w:t>热插拔</w:t>
            </w:r>
            <w:r>
              <w:rPr>
                <w:rFonts w:hint="eastAsia" w:ascii="宋体" w:hAnsi="宋体"/>
                <w:bCs/>
                <w:szCs w:val="21"/>
                <w:lang w:val="en-US" w:eastAsia="zh-CN"/>
              </w:rPr>
              <w:t>冗余</w:t>
            </w:r>
            <w:r>
              <w:rPr>
                <w:rFonts w:hint="eastAsia" w:ascii="宋体" w:hAnsi="宋体"/>
                <w:bCs/>
                <w:szCs w:val="21"/>
              </w:rPr>
              <w:t>电源</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bCs/>
                <w:szCs w:val="21"/>
                <w:lang w:val="en-US" w:eastAsia="zh-CN"/>
              </w:rPr>
            </w:pPr>
            <w:r>
              <w:rPr>
                <w:rFonts w:hint="eastAsia" w:ascii="宋体" w:hAnsi="宋体"/>
                <w:bCs/>
                <w:szCs w:val="21"/>
                <w:lang w:val="en-US" w:eastAsia="zh-CN"/>
              </w:rPr>
              <w:t>冷却系统</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w:t>
            </w:r>
            <w:r>
              <w:rPr>
                <w:rFonts w:ascii="宋体" w:hAnsi="宋体"/>
                <w:bCs/>
                <w:szCs w:val="21"/>
              </w:rPr>
              <w:t>8</w:t>
            </w:r>
            <w:r>
              <w:rPr>
                <w:rFonts w:hint="eastAsia" w:ascii="宋体" w:hAnsi="宋体"/>
                <w:bCs/>
                <w:szCs w:val="21"/>
              </w:rPr>
              <w:t>个热插拔冗余风扇</w:t>
            </w:r>
            <w:r>
              <w:rPr>
                <w:rFonts w:hint="eastAsia" w:ascii="宋体" w:hAnsi="宋体"/>
                <w:bCs/>
                <w:szCs w:val="21"/>
                <w:lang w:eastAsia="zh-CN"/>
              </w:rPr>
              <w:t>，</w:t>
            </w:r>
            <w:r>
              <w:rPr>
                <w:rFonts w:hint="eastAsia" w:ascii="宋体" w:hAnsi="宋体"/>
                <w:bCs/>
                <w:szCs w:val="21"/>
              </w:rPr>
              <w:t>支持N+1冗余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bCs/>
                <w:szCs w:val="21"/>
                <w:lang w:val="en-US" w:eastAsia="zh-CN"/>
              </w:rPr>
            </w:pPr>
            <w:r>
              <w:rPr>
                <w:rFonts w:hint="eastAsia" w:ascii="宋体" w:hAnsi="宋体"/>
                <w:bCs/>
                <w:szCs w:val="21"/>
              </w:rPr>
              <w:t>PCI I/O扩展</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w:t>
            </w:r>
            <w:r>
              <w:rPr>
                <w:rFonts w:hint="eastAsia" w:ascii="宋体" w:hAnsi="宋体"/>
                <w:bCs/>
                <w:szCs w:val="21"/>
                <w:lang w:val="en-US" w:eastAsia="zh-CN"/>
              </w:rPr>
              <w:t>14</w:t>
            </w:r>
            <w:r>
              <w:rPr>
                <w:rFonts w:hint="eastAsia" w:ascii="宋体" w:hAnsi="宋体"/>
                <w:bCs/>
                <w:szCs w:val="21"/>
              </w:rPr>
              <w:t>个PCIe插槽，包括8个双宽PCIe5.0</w:t>
            </w:r>
            <w:r>
              <w:rPr>
                <w:rFonts w:hint="eastAsia" w:ascii="宋体" w:hAnsi="宋体"/>
                <w:bCs/>
                <w:szCs w:val="21"/>
                <w:lang w:val="en-US" w:eastAsia="zh-CN"/>
              </w:rPr>
              <w:t xml:space="preserve"> </w:t>
            </w:r>
            <w:r>
              <w:rPr>
                <w:rFonts w:hint="eastAsia" w:ascii="宋体" w:hAnsi="宋体"/>
                <w:bCs/>
                <w:szCs w:val="21"/>
              </w:rPr>
              <w:t>x16插槽</w:t>
            </w:r>
            <w:r>
              <w:rPr>
                <w:rFonts w:hint="eastAsia" w:ascii="宋体" w:hAnsi="宋体"/>
                <w:bCs/>
                <w:szCs w:val="21"/>
                <w:lang w:eastAsia="zh-CN"/>
              </w:rPr>
              <w:t>，</w:t>
            </w:r>
            <w:r>
              <w:rPr>
                <w:rFonts w:hint="eastAsia" w:ascii="宋体" w:hAnsi="宋体"/>
                <w:bCs/>
                <w:szCs w:val="21"/>
              </w:rPr>
              <w:t>4个单宽PCIe5.0</w:t>
            </w:r>
            <w:r>
              <w:rPr>
                <w:rFonts w:hint="eastAsia" w:ascii="宋体" w:hAnsi="宋体"/>
                <w:bCs/>
                <w:szCs w:val="21"/>
                <w:lang w:val="en-US" w:eastAsia="zh-CN"/>
              </w:rPr>
              <w:t xml:space="preserve"> x</w:t>
            </w:r>
            <w:r>
              <w:rPr>
                <w:rFonts w:hint="eastAsia" w:ascii="宋体" w:hAnsi="宋体"/>
                <w:bCs/>
                <w:szCs w:val="21"/>
              </w:rPr>
              <w:t>16插槽</w:t>
            </w:r>
            <w:r>
              <w:rPr>
                <w:rFonts w:hint="eastAsia" w:ascii="宋体" w:hAnsi="宋体"/>
                <w:bCs/>
                <w:szCs w:val="21"/>
                <w:lang w:eastAsia="zh-CN"/>
              </w:rPr>
              <w:t>，</w:t>
            </w:r>
            <w:r>
              <w:rPr>
                <w:rFonts w:hint="eastAsia" w:ascii="宋体" w:hAnsi="宋体"/>
                <w:bCs/>
                <w:szCs w:val="21"/>
              </w:rPr>
              <w:t>一个内置阵列卡专用插槽，</w:t>
            </w:r>
            <w:r>
              <w:rPr>
                <w:rFonts w:hint="eastAsia" w:ascii="宋体" w:hAnsi="宋体"/>
                <w:bCs/>
                <w:szCs w:val="21"/>
                <w:lang w:val="en-US" w:eastAsia="zh-CN"/>
              </w:rPr>
              <w:t>一</w:t>
            </w:r>
            <w:r>
              <w:rPr>
                <w:rFonts w:hint="eastAsia" w:ascii="宋体" w:hAnsi="宋体"/>
                <w:bCs/>
                <w:szCs w:val="21"/>
              </w:rPr>
              <w:t>个OCP 3.0</w:t>
            </w:r>
            <w:r>
              <w:rPr>
                <w:rFonts w:hint="eastAsia" w:ascii="宋体" w:hAnsi="宋体"/>
                <w:bCs/>
                <w:szCs w:val="21"/>
                <w:lang w:val="en-US" w:eastAsia="zh-CN"/>
              </w:rPr>
              <w:t>网卡</w:t>
            </w:r>
            <w:r>
              <w:rPr>
                <w:rFonts w:hint="eastAsia" w:ascii="宋体" w:hAnsi="宋体"/>
                <w:bCs/>
                <w:szCs w:val="21"/>
              </w:rPr>
              <w:t>专用插槽</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15</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可管理性</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配置≥1Gb独立的远程管理控制端口；配置虚拟KVM功能,</w:t>
            </w:r>
            <w:r>
              <w:rPr>
                <w:rFonts w:hint="eastAsia" w:ascii="宋体" w:hAnsi="宋体"/>
                <w:bCs/>
                <w:szCs w:val="21"/>
                <w:lang w:val="en-US" w:eastAsia="zh-CN"/>
              </w:rPr>
              <w:t>支持</w:t>
            </w:r>
            <w:r>
              <w:rPr>
                <w:rFonts w:hint="eastAsia" w:ascii="宋体" w:hAnsi="宋体"/>
                <w:bCs/>
                <w:szCs w:val="21"/>
              </w:rPr>
              <w:t>对服务器与操作系统无关</w:t>
            </w:r>
            <w:r>
              <w:rPr>
                <w:rFonts w:hint="eastAsia" w:ascii="宋体" w:hAnsi="宋体"/>
                <w:bCs/>
                <w:szCs w:val="21"/>
                <w:lang w:val="en-US" w:eastAsia="zh-CN"/>
              </w:rPr>
              <w:t>且</w:t>
            </w:r>
            <w:r>
              <w:rPr>
                <w:rFonts w:hint="eastAsia" w:ascii="宋体" w:hAnsi="宋体"/>
                <w:bCs/>
                <w:szCs w:val="21"/>
              </w:rPr>
              <w:t>完全控制的远程</w:t>
            </w:r>
            <w:r>
              <w:rPr>
                <w:rFonts w:hint="eastAsia" w:ascii="宋体" w:hAnsi="宋体"/>
                <w:bCs/>
                <w:szCs w:val="21"/>
                <w:lang w:val="en-US" w:eastAsia="zh-CN"/>
              </w:rPr>
              <w:t>功能</w:t>
            </w:r>
            <w:r>
              <w:rPr>
                <w:rFonts w:hint="eastAsia" w:ascii="宋体" w:hAnsi="宋体"/>
                <w:bCs/>
                <w:szCs w:val="21"/>
              </w:rPr>
              <w:t>，包括远程的开机、关机、重启、更新Firmware、虚拟光驱、虚拟文件夹等操作，提供服务器健康日记、服务器控制台录屏/回放功能，提供电源监控。</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6</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带外升级</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为简化服务器的运维管理，服务器支持不依赖</w:t>
            </w:r>
            <w:r>
              <w:rPr>
                <w:rFonts w:hint="eastAsia" w:ascii="宋体" w:hAnsi="宋体"/>
                <w:bCs/>
                <w:szCs w:val="21"/>
                <w:lang w:val="en-US" w:eastAsia="zh-CN"/>
              </w:rPr>
              <w:t>操作系统</w:t>
            </w:r>
            <w:r>
              <w:rPr>
                <w:rFonts w:hint="eastAsia" w:ascii="宋体" w:hAnsi="宋体"/>
                <w:bCs/>
                <w:szCs w:val="21"/>
              </w:rPr>
              <w:t>可带外一次升级多个部件的固件（如网卡部件、存储卡部件等），无需多次升级，要求提供CNAS认可的检测机构出具的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7</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联合管理</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管理软件联合管理支持</w:t>
            </w:r>
            <w:r>
              <w:rPr>
                <w:rFonts w:hint="eastAsia" w:ascii="宋体" w:hAnsi="宋体"/>
                <w:bCs/>
                <w:szCs w:val="21"/>
                <w:lang w:val="en-US" w:eastAsia="zh-CN"/>
              </w:rPr>
              <w:t>对同机房、网络互通</w:t>
            </w:r>
            <w:r>
              <w:rPr>
                <w:rFonts w:hint="eastAsia" w:ascii="宋体" w:hAnsi="宋体"/>
                <w:bCs/>
                <w:szCs w:val="21"/>
              </w:rPr>
              <w:t>的</w:t>
            </w:r>
            <w:r>
              <w:rPr>
                <w:rFonts w:hint="eastAsia" w:ascii="宋体" w:hAnsi="宋体"/>
                <w:bCs/>
                <w:szCs w:val="21"/>
                <w:lang w:val="en-US" w:eastAsia="zh-CN"/>
              </w:rPr>
              <w:t>服务器</w:t>
            </w:r>
            <w:r>
              <w:rPr>
                <w:rFonts w:hint="eastAsia" w:ascii="宋体" w:hAnsi="宋体"/>
                <w:bCs/>
                <w:szCs w:val="21"/>
              </w:rPr>
              <w:t>直接管理，简化了小规模服务器的统一管理，要求提供CNAS认可的检测机构出具的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8</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温度监测</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支持展示各组件温度传感器的分布图，可让用户直观感知服务器整体温感状态，要求提供CNAS认可的检测机构出具的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19</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离线固件更新</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支持离线固件更新功能，批量更新option的固件；要求提供CNAS认可的检测机构出具的相关证明材料。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20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ascii="宋体" w:hAnsi="宋体" w:eastAsia="宋体" w:cs="Times New Roman"/>
                <w:bCs/>
                <w:szCs w:val="21"/>
              </w:rPr>
              <w:t>服务器添加</w:t>
            </w:r>
          </w:p>
        </w:tc>
        <w:tc>
          <w:tcPr>
            <w:tcW w:w="662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hint="eastAsia" w:ascii="宋体" w:hAnsi="宋体" w:eastAsia="宋体" w:cs="Times New Roman"/>
                <w:bCs/>
                <w:szCs w:val="21"/>
              </w:rPr>
              <w:t>服务器统一管理软件支持通过设备发现/手动添加/批量导入三种方式添加服务器</w:t>
            </w:r>
            <w:r>
              <w:rPr>
                <w:rFonts w:hint="eastAsia" w:ascii="宋体" w:hAnsi="宋体" w:cs="Times New Roman"/>
                <w:bCs/>
                <w:szCs w:val="21"/>
                <w:lang w:eastAsia="zh-CN"/>
              </w:rPr>
              <w:t>，</w:t>
            </w:r>
            <w:r>
              <w:rPr>
                <w:rFonts w:hint="eastAsia" w:ascii="宋体" w:hAnsi="宋体"/>
                <w:bCs/>
                <w:szCs w:val="21"/>
              </w:rPr>
              <w:t>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21</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eastAsia="宋体" w:cs="Times New Roman"/>
                <w:bCs/>
                <w:kern w:val="2"/>
                <w:sz w:val="21"/>
                <w:szCs w:val="21"/>
                <w:lang w:val="en-US" w:eastAsia="zh-CN" w:bidi="ar-SA"/>
              </w:rPr>
            </w:pPr>
            <w:r>
              <w:rPr>
                <w:rFonts w:ascii="宋体" w:hAnsi="宋体" w:eastAsia="宋体" w:cs="Times New Roman"/>
                <w:bCs/>
                <w:szCs w:val="21"/>
              </w:rPr>
              <w:t>服务器配置模板</w:t>
            </w:r>
          </w:p>
        </w:tc>
        <w:tc>
          <w:tcPr>
            <w:tcW w:w="662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hint="eastAsia" w:ascii="宋体" w:hAnsi="宋体" w:eastAsia="宋体" w:cs="Times New Roman"/>
                <w:bCs/>
                <w:szCs w:val="21"/>
              </w:rPr>
              <w:t>支持通过服务器配置模板批量应用进行B</w:t>
            </w:r>
            <w:r>
              <w:rPr>
                <w:rFonts w:ascii="宋体" w:hAnsi="宋体" w:eastAsia="宋体" w:cs="Times New Roman"/>
                <w:bCs/>
                <w:szCs w:val="21"/>
              </w:rPr>
              <w:t>IOS设置、</w:t>
            </w:r>
            <w:r>
              <w:rPr>
                <w:rFonts w:hint="eastAsia" w:ascii="宋体" w:hAnsi="宋体" w:eastAsia="宋体" w:cs="Times New Roman"/>
                <w:bCs/>
                <w:szCs w:val="21"/>
              </w:rPr>
              <w:t>R</w:t>
            </w:r>
            <w:r>
              <w:rPr>
                <w:rFonts w:ascii="宋体" w:hAnsi="宋体" w:eastAsia="宋体" w:cs="Times New Roman"/>
                <w:bCs/>
                <w:szCs w:val="21"/>
              </w:rPr>
              <w:t>AID设置、</w:t>
            </w:r>
            <w:r>
              <w:rPr>
                <w:rFonts w:hint="eastAsia" w:ascii="宋体" w:hAnsi="宋体"/>
                <w:bCs/>
                <w:szCs w:val="21"/>
                <w:lang w:val="en-US" w:eastAsia="zh-CN"/>
              </w:rPr>
              <w:t>操作系统</w:t>
            </w:r>
            <w:r>
              <w:rPr>
                <w:rFonts w:ascii="宋体" w:hAnsi="宋体" w:eastAsia="宋体" w:cs="Times New Roman"/>
                <w:bCs/>
                <w:szCs w:val="21"/>
              </w:rPr>
              <w:t>安装</w:t>
            </w:r>
            <w:r>
              <w:rPr>
                <w:rFonts w:hint="eastAsia" w:ascii="宋体" w:hAnsi="宋体" w:eastAsia="宋体" w:cs="Times New Roman"/>
                <w:bCs/>
                <w:szCs w:val="21"/>
              </w:rPr>
              <w:t>，</w:t>
            </w:r>
            <w:r>
              <w:rPr>
                <w:rFonts w:hint="eastAsia" w:ascii="宋体" w:hAnsi="宋体"/>
                <w:bCs/>
                <w:szCs w:val="21"/>
              </w:rPr>
              <w:t>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22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密码认证</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支持对于</w:t>
            </w:r>
            <w:r>
              <w:rPr>
                <w:rFonts w:hint="eastAsia" w:ascii="宋体" w:hAnsi="宋体"/>
                <w:bCs/>
                <w:szCs w:val="21"/>
                <w:lang w:val="en-US" w:eastAsia="zh-CN"/>
              </w:rPr>
              <w:t>登录</w:t>
            </w:r>
            <w:r>
              <w:rPr>
                <w:rFonts w:hint="eastAsia" w:ascii="宋体" w:hAnsi="宋体"/>
                <w:bCs/>
                <w:szCs w:val="21"/>
              </w:rPr>
              <w:t>服务器管理软件的用户执行双因素认证(如静态密码和随机动态密码结合的方式)。要求提供CNAS认可的检测机构出具的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23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诊断日志</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支持通过服务U盘下载服务器设备故障诊断日志。要求提供CNAS认可的检测机构出具的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24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应急诊断</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当服务器因可更换硬件故障导致启动进程挂死在POST阶段时，可以使用应急诊断功能，开启后即可自动诊断，并输出时间戳及诊断结果等信息，要求提供CNAS认可的检测机构出具的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25</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售后服务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提供原厂商首次安装服务和3年</w:t>
            </w:r>
            <w:r>
              <w:rPr>
                <w:rFonts w:hint="eastAsia" w:ascii="宋体" w:hAnsi="宋体"/>
                <w:bCs/>
                <w:szCs w:val="21"/>
                <w:lang w:val="en-US" w:eastAsia="zh-CN"/>
              </w:rPr>
              <w:t>7*24小时</w:t>
            </w:r>
            <w:r>
              <w:rPr>
                <w:rFonts w:hint="eastAsia" w:ascii="宋体" w:hAnsi="宋体"/>
                <w:bCs/>
                <w:szCs w:val="21"/>
              </w:rPr>
              <w:t>维保服务</w:t>
            </w:r>
            <w:r>
              <w:rPr>
                <w:rFonts w:hint="eastAsia" w:ascii="宋体" w:hAnsi="宋体"/>
                <w:bCs/>
                <w:szCs w:val="21"/>
                <w:lang w:eastAsia="zh-CN"/>
              </w:rPr>
              <w:t>。</w:t>
            </w:r>
          </w:p>
        </w:tc>
      </w:tr>
    </w:tbl>
    <w:p/>
    <w:p>
      <w:pPr>
        <w:pStyle w:val="71"/>
        <w:spacing w:before="156" w:after="156"/>
      </w:pPr>
      <w:r>
        <w:rPr>
          <w:rFonts w:hint="eastAsia"/>
          <w:lang w:val="en-US" w:eastAsia="zh-CN"/>
        </w:rPr>
        <w:t>3.</w:t>
      </w:r>
      <w:r>
        <w:t>2、</w:t>
      </w:r>
      <w:r>
        <w:rPr>
          <w:rFonts w:hint="eastAsia"/>
        </w:rPr>
        <w:t>管理服务器</w:t>
      </w:r>
    </w:p>
    <w:tbl>
      <w:tblPr>
        <w:tblStyle w:val="22"/>
        <w:tblW w:w="9210" w:type="dxa"/>
        <w:tblInd w:w="96" w:type="dxa"/>
        <w:tblLayout w:type="autofit"/>
        <w:tblCellMar>
          <w:top w:w="0" w:type="dxa"/>
          <w:left w:w="108" w:type="dxa"/>
          <w:bottom w:w="0" w:type="dxa"/>
          <w:right w:w="108" w:type="dxa"/>
        </w:tblCellMar>
      </w:tblPr>
      <w:tblGrid>
        <w:gridCol w:w="960"/>
        <w:gridCol w:w="1630"/>
        <w:gridCol w:w="6620"/>
      </w:tblGrid>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序号</w:t>
            </w:r>
          </w:p>
        </w:tc>
        <w:tc>
          <w:tcPr>
            <w:tcW w:w="16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指标项</w:t>
            </w:r>
          </w:p>
        </w:tc>
        <w:tc>
          <w:tcPr>
            <w:tcW w:w="66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szCs w:val="21"/>
              </w:rPr>
            </w:pPr>
            <w:r>
              <w:rPr>
                <w:rFonts w:hint="eastAsia" w:ascii="宋体" w:hAnsi="宋体"/>
                <w:bCs/>
                <w:szCs w:val="21"/>
              </w:rPr>
              <w:t>技术规格要求</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品牌</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eastAsia="宋体" w:cs="Times New Roman"/>
                <w:bCs/>
                <w:i w:val="0"/>
                <w:kern w:val="2"/>
                <w:sz w:val="21"/>
                <w:szCs w:val="21"/>
                <w:u w:val="none"/>
                <w:lang w:val="en-US" w:eastAsia="zh-CN" w:bidi="ar"/>
              </w:rPr>
              <w:t>国</w:t>
            </w:r>
            <w:r>
              <w:rPr>
                <w:rFonts w:hint="eastAsia" w:ascii="宋体" w:hAnsi="宋体" w:cs="Times New Roman"/>
                <w:bCs/>
                <w:i w:val="0"/>
                <w:kern w:val="2"/>
                <w:sz w:val="21"/>
                <w:szCs w:val="21"/>
                <w:u w:val="none"/>
                <w:lang w:val="en-US" w:eastAsia="zh-CN" w:bidi="ar"/>
              </w:rPr>
              <w:t>内外</w:t>
            </w:r>
            <w:r>
              <w:rPr>
                <w:rFonts w:hint="eastAsia" w:ascii="宋体" w:hAnsi="宋体" w:eastAsia="宋体" w:cs="Times New Roman"/>
                <w:bCs/>
                <w:i w:val="0"/>
                <w:kern w:val="2"/>
                <w:sz w:val="21"/>
                <w:szCs w:val="21"/>
                <w:u w:val="none"/>
                <w:lang w:val="en-US" w:eastAsia="zh-CN" w:bidi="ar"/>
              </w:rPr>
              <w:t>知名品牌。</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bCs/>
                <w:szCs w:val="21"/>
                <w:lang w:eastAsia="zh-CN"/>
              </w:rPr>
            </w:pPr>
            <w:r>
              <w:rPr>
                <w:rFonts w:hint="eastAsia" w:ascii="宋体" w:hAnsi="宋体"/>
                <w:bCs/>
                <w:szCs w:val="21"/>
                <w:lang w:val="en-US" w:eastAsia="zh-CN"/>
              </w:rPr>
              <w:t>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服务器高度</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w:t>
            </w:r>
            <w:r>
              <w:rPr>
                <w:rFonts w:hint="eastAsia" w:ascii="宋体" w:hAnsi="宋体"/>
                <w:bCs/>
                <w:szCs w:val="21"/>
                <w:lang w:val="en-US" w:eastAsia="zh-CN"/>
              </w:rPr>
              <w:t>标准</w:t>
            </w:r>
            <w:r>
              <w:rPr>
                <w:rFonts w:hint="eastAsia" w:ascii="宋体" w:hAnsi="宋体"/>
                <w:bCs/>
                <w:szCs w:val="21"/>
              </w:rPr>
              <w:t>2U机架式</w:t>
            </w:r>
            <w:r>
              <w:rPr>
                <w:rFonts w:hint="eastAsia" w:ascii="宋体" w:hAnsi="宋体"/>
                <w:bCs/>
                <w:szCs w:val="21"/>
                <w:lang w:val="en-US" w:eastAsia="zh-CN"/>
              </w:rPr>
              <w:t>服务器</w:t>
            </w:r>
            <w:r>
              <w:rPr>
                <w:rFonts w:hint="eastAsia" w:ascii="宋体" w:hAnsi="宋体"/>
                <w:bCs/>
                <w:szCs w:val="21"/>
              </w:rPr>
              <w:t>，标配原厂导轨</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bCs/>
                <w:szCs w:val="21"/>
                <w:lang w:val="en-US" w:eastAsia="zh-CN"/>
              </w:rPr>
            </w:pPr>
            <w:r>
              <w:rPr>
                <w:rFonts w:hint="eastAsia" w:ascii="宋体" w:hAnsi="宋体"/>
                <w:bCs/>
                <w:szCs w:val="21"/>
                <w:lang w:val="en-US" w:eastAsia="zh-CN"/>
              </w:rPr>
              <w:t>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芯片组</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不低于Intel C621A</w:t>
            </w:r>
            <w:r>
              <w:rPr>
                <w:rFonts w:hint="eastAsia" w:ascii="宋体" w:hAnsi="宋体"/>
                <w:bCs/>
                <w:szCs w:val="21"/>
                <w:lang w:val="en-US" w:eastAsia="zh-CN"/>
              </w:rPr>
              <w:t xml:space="preserve"> </w:t>
            </w:r>
            <w:r>
              <w:rPr>
                <w:rFonts w:hint="eastAsia" w:ascii="宋体" w:hAnsi="宋体"/>
                <w:bCs/>
                <w:szCs w:val="21"/>
              </w:rPr>
              <w:t>系列芯片组芯片组，支持Intel至强可扩展处理器家族铜牌、银牌、金牌及铂金处理器产品。</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bCs/>
                <w:szCs w:val="21"/>
                <w:lang w:eastAsia="zh-CN"/>
              </w:rPr>
            </w:pPr>
            <w:r>
              <w:rPr>
                <w:rFonts w:hint="eastAsia" w:ascii="宋体" w:hAnsi="宋体"/>
                <w:bCs/>
                <w:szCs w:val="21"/>
                <w:lang w:val="en-US" w:eastAsia="zh-CN"/>
              </w:rPr>
              <w:t>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处理器型号</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val="en-US" w:eastAsia="zh-CN"/>
              </w:rPr>
            </w:pPr>
            <w:r>
              <w:rPr>
                <w:rFonts w:hint="eastAsia" w:ascii="宋体" w:hAnsi="宋体"/>
                <w:bCs/>
                <w:szCs w:val="21"/>
              </w:rPr>
              <w:t>配置≥两颗Intel至强可扩展处理器，单个Intel至强处理器主频≥2.</w:t>
            </w:r>
            <w:r>
              <w:rPr>
                <w:rFonts w:hint="eastAsia" w:ascii="宋体" w:hAnsi="宋体"/>
                <w:bCs/>
                <w:szCs w:val="21"/>
                <w:lang w:val="en-US" w:eastAsia="zh-CN"/>
              </w:rPr>
              <w:t>3</w:t>
            </w:r>
            <w:r>
              <w:rPr>
                <w:rFonts w:hint="eastAsia" w:ascii="宋体" w:hAnsi="宋体"/>
                <w:bCs/>
                <w:szCs w:val="21"/>
              </w:rPr>
              <w:t>GHz，≥</w:t>
            </w:r>
            <w:r>
              <w:rPr>
                <w:rFonts w:hint="eastAsia" w:ascii="宋体" w:hAnsi="宋体"/>
                <w:bCs/>
                <w:szCs w:val="21"/>
                <w:lang w:val="en-US" w:eastAsia="zh-CN"/>
              </w:rPr>
              <w:t>20</w:t>
            </w:r>
            <w:r>
              <w:rPr>
                <w:rFonts w:hint="eastAsia" w:ascii="宋体" w:hAnsi="宋体"/>
                <w:bCs/>
                <w:szCs w:val="21"/>
              </w:rPr>
              <w:t>核</w:t>
            </w:r>
            <w:r>
              <w:rPr>
                <w:rFonts w:hint="eastAsia" w:ascii="宋体" w:hAnsi="宋体"/>
                <w:bCs/>
                <w:szCs w:val="21"/>
                <w:lang w:val="en-US" w:eastAsia="zh-CN"/>
              </w:rPr>
              <w:t>40</w:t>
            </w:r>
            <w:r>
              <w:rPr>
                <w:rFonts w:hint="eastAsia" w:ascii="宋体" w:hAnsi="宋体"/>
                <w:bCs/>
                <w:szCs w:val="21"/>
              </w:rPr>
              <w:t>线程，</w:t>
            </w:r>
            <w:r>
              <w:rPr>
                <w:rFonts w:hint="eastAsia" w:ascii="宋体" w:hAnsi="宋体"/>
                <w:bCs/>
                <w:szCs w:val="21"/>
                <w:lang w:val="en-US" w:eastAsia="zh-CN"/>
              </w:rPr>
              <w:t>150</w:t>
            </w:r>
            <w:r>
              <w:rPr>
                <w:rFonts w:hint="eastAsia" w:ascii="宋体" w:hAnsi="宋体"/>
                <w:bCs/>
                <w:szCs w:val="21"/>
              </w:rPr>
              <w:t>W，L3缓存≥</w:t>
            </w:r>
            <w:r>
              <w:rPr>
                <w:rFonts w:hint="eastAsia" w:ascii="宋体" w:hAnsi="宋体"/>
                <w:bCs/>
                <w:szCs w:val="21"/>
                <w:lang w:val="en-US" w:eastAsia="zh-CN"/>
              </w:rPr>
              <w:t>3</w:t>
            </w:r>
            <w:r>
              <w:rPr>
                <w:rFonts w:hint="eastAsia" w:ascii="宋体" w:hAnsi="宋体"/>
                <w:bCs/>
                <w:szCs w:val="21"/>
              </w:rPr>
              <w:t>0MB。</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5</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内存实配规格</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w:t>
            </w:r>
            <w:r>
              <w:rPr>
                <w:rFonts w:ascii="宋体" w:hAnsi="宋体"/>
                <w:bCs/>
                <w:szCs w:val="21"/>
              </w:rPr>
              <w:t>4</w:t>
            </w:r>
            <w:r>
              <w:rPr>
                <w:rFonts w:hint="eastAsia" w:ascii="宋体" w:hAnsi="宋体"/>
                <w:bCs/>
                <w:szCs w:val="21"/>
              </w:rPr>
              <w:t>*</w:t>
            </w:r>
            <w:r>
              <w:rPr>
                <w:rFonts w:ascii="宋体" w:hAnsi="宋体"/>
                <w:bCs/>
                <w:szCs w:val="21"/>
              </w:rPr>
              <w:t>32</w:t>
            </w:r>
            <w:r>
              <w:rPr>
                <w:rFonts w:hint="eastAsia" w:ascii="宋体" w:hAnsi="宋体"/>
                <w:bCs/>
                <w:szCs w:val="21"/>
              </w:rPr>
              <w:t>GB</w:t>
            </w:r>
            <w:r>
              <w:rPr>
                <w:rFonts w:hint="eastAsia" w:ascii="宋体" w:hAnsi="宋体"/>
                <w:bCs/>
                <w:szCs w:val="21"/>
                <w:lang w:val="en-US" w:eastAsia="zh-CN"/>
              </w:rPr>
              <w:t xml:space="preserve"> </w:t>
            </w:r>
            <w:r>
              <w:rPr>
                <w:rFonts w:hint="eastAsia" w:ascii="宋体" w:hAnsi="宋体"/>
                <w:bCs/>
                <w:szCs w:val="21"/>
              </w:rPr>
              <w:t>DDR4 3200MHz</w:t>
            </w:r>
            <w:r>
              <w:rPr>
                <w:rFonts w:hint="eastAsia" w:ascii="宋体" w:hAnsi="宋体"/>
                <w:bCs/>
                <w:szCs w:val="21"/>
                <w:lang w:val="en-US" w:eastAsia="zh-CN"/>
              </w:rPr>
              <w:t>(32</w:t>
            </w:r>
            <w:r>
              <w:rPr>
                <w:rFonts w:hint="eastAsia" w:ascii="宋体" w:hAnsi="宋体"/>
                <w:bCs/>
                <w:szCs w:val="21"/>
              </w:rPr>
              <w:t>00MT/s</w:t>
            </w:r>
            <w:r>
              <w:rPr>
                <w:rFonts w:hint="eastAsia" w:ascii="宋体" w:hAnsi="宋体"/>
                <w:bCs/>
                <w:szCs w:val="21"/>
                <w:lang w:val="en-US" w:eastAsia="zh-CN"/>
              </w:rPr>
              <w:t>)</w:t>
            </w:r>
            <w:r>
              <w:rPr>
                <w:rFonts w:hint="eastAsia" w:ascii="宋体" w:hAnsi="宋体"/>
                <w:bCs/>
                <w:szCs w:val="21"/>
              </w:rPr>
              <w:t xml:space="preserve"> RDIMM</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6</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内存可扩展数量</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支持≥32个</w:t>
            </w:r>
            <w:r>
              <w:rPr>
                <w:rFonts w:hint="eastAsia" w:ascii="宋体" w:hAnsi="宋体"/>
                <w:bCs/>
                <w:szCs w:val="21"/>
                <w:lang w:val="en-US" w:eastAsia="zh-CN"/>
              </w:rPr>
              <w:t xml:space="preserve">DDR4 </w:t>
            </w:r>
            <w:r>
              <w:rPr>
                <w:rFonts w:hint="eastAsia" w:ascii="宋体" w:hAnsi="宋体"/>
                <w:bCs/>
                <w:szCs w:val="21"/>
              </w:rPr>
              <w:t>RDIMM或LRDIMM内存插槽，速率最高支持</w:t>
            </w:r>
            <w:r>
              <w:rPr>
                <w:rFonts w:hint="eastAsia" w:ascii="宋体" w:hAnsi="宋体"/>
                <w:bCs/>
                <w:szCs w:val="21"/>
                <w:lang w:val="en-US" w:eastAsia="zh-CN"/>
              </w:rPr>
              <w:t>32</w:t>
            </w:r>
            <w:r>
              <w:rPr>
                <w:rFonts w:hint="eastAsia" w:ascii="宋体" w:hAnsi="宋体"/>
                <w:bCs/>
                <w:szCs w:val="21"/>
              </w:rPr>
              <w:t>00MT/s</w:t>
            </w:r>
            <w:r>
              <w:rPr>
                <w:rFonts w:hint="eastAsia" w:ascii="宋体" w:hAnsi="宋体"/>
                <w:bCs/>
                <w:szCs w:val="21"/>
                <w:lang w:eastAsia="zh-CN"/>
              </w:rPr>
              <w:t>，</w:t>
            </w:r>
            <w:r>
              <w:rPr>
                <w:rFonts w:hint="eastAsia" w:ascii="宋体" w:hAnsi="宋体"/>
                <w:bCs/>
                <w:szCs w:val="21"/>
                <w:lang w:val="en-US" w:eastAsia="zh-CN"/>
              </w:rPr>
              <w:t>支持六通道配置。</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7</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存储-</w:t>
            </w:r>
            <w:r>
              <w:rPr>
                <w:rFonts w:hint="eastAsia" w:ascii="宋体" w:hAnsi="宋体"/>
                <w:bCs/>
                <w:szCs w:val="21"/>
                <w:lang w:val="en-US" w:eastAsia="zh-CN"/>
              </w:rPr>
              <w:t>硬盘</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≥2*</w:t>
            </w:r>
            <w:r>
              <w:rPr>
                <w:rFonts w:ascii="宋体" w:hAnsi="宋体"/>
                <w:bCs/>
                <w:szCs w:val="21"/>
              </w:rPr>
              <w:t>96</w:t>
            </w:r>
            <w:r>
              <w:rPr>
                <w:rFonts w:hint="eastAsia" w:ascii="宋体" w:hAnsi="宋体"/>
                <w:bCs/>
                <w:szCs w:val="21"/>
              </w:rPr>
              <w:t>0GB 2.5英寸</w:t>
            </w:r>
            <w:r>
              <w:rPr>
                <w:rFonts w:hint="eastAsia" w:ascii="宋体" w:hAnsi="宋体"/>
                <w:bCs/>
                <w:szCs w:val="21"/>
                <w:lang w:val="en-US" w:eastAsia="zh-CN"/>
              </w:rPr>
              <w:t xml:space="preserve"> SATA 6Gb/s 企业级</w:t>
            </w:r>
            <w:r>
              <w:rPr>
                <w:rFonts w:hint="eastAsia" w:ascii="宋体" w:hAnsi="宋体"/>
                <w:bCs/>
                <w:szCs w:val="21"/>
              </w:rPr>
              <w:t>固态硬盘</w:t>
            </w:r>
            <w:r>
              <w:rPr>
                <w:rFonts w:hint="eastAsia" w:ascii="宋体" w:hAnsi="宋体"/>
                <w:bCs/>
                <w:szCs w:val="21"/>
                <w:lang w:eastAsia="zh-CN"/>
              </w:rPr>
              <w:t>，</w:t>
            </w:r>
            <w:r>
              <w:rPr>
                <w:rFonts w:hint="eastAsia" w:ascii="宋体" w:hAnsi="宋体"/>
                <w:bCs/>
                <w:szCs w:val="21"/>
                <w:lang w:val="en-US" w:eastAsia="zh-CN"/>
              </w:rPr>
              <w:t>配置相同数量的硬盘托架。</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8</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存储-阵列控制器</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w:t>
            </w:r>
            <w:r>
              <w:rPr>
                <w:rFonts w:hint="eastAsia" w:ascii="宋体" w:hAnsi="宋体"/>
                <w:bCs/>
                <w:szCs w:val="21"/>
                <w:lang w:val="en-US" w:eastAsia="zh-CN"/>
              </w:rPr>
              <w:t>1张12Gb PCIe 配</w:t>
            </w:r>
            <w:r>
              <w:rPr>
                <w:rFonts w:hint="eastAsia" w:ascii="宋体" w:hAnsi="宋体"/>
                <w:bCs/>
                <w:szCs w:val="21"/>
              </w:rPr>
              <w:t>2GB闪存</w:t>
            </w:r>
            <w:r>
              <w:rPr>
                <w:rFonts w:hint="eastAsia" w:ascii="宋体" w:hAnsi="宋体"/>
                <w:bCs/>
                <w:szCs w:val="21"/>
                <w:lang w:val="en-US" w:eastAsia="zh-CN"/>
              </w:rPr>
              <w:t xml:space="preserve"> 阵列卡，</w:t>
            </w:r>
            <w:r>
              <w:rPr>
                <w:rFonts w:hint="eastAsia" w:ascii="宋体" w:hAnsi="宋体"/>
                <w:bCs/>
                <w:szCs w:val="21"/>
              </w:rPr>
              <w:t>支持0/1/5</w:t>
            </w:r>
            <w:r>
              <w:rPr>
                <w:rFonts w:hint="eastAsia" w:ascii="宋体" w:hAnsi="宋体"/>
                <w:bCs/>
                <w:szCs w:val="21"/>
                <w:lang w:val="en-US" w:eastAsia="zh-CN"/>
              </w:rPr>
              <w:t>/</w:t>
            </w:r>
            <w:r>
              <w:rPr>
                <w:rFonts w:hint="eastAsia" w:ascii="宋体" w:hAnsi="宋体"/>
                <w:bCs/>
                <w:szCs w:val="21"/>
              </w:rPr>
              <w:t>10/50 RAID级别，可选RAID 6/60, 最大支持4GB闪存，</w:t>
            </w:r>
            <w:r>
              <w:rPr>
                <w:rFonts w:hint="eastAsia" w:ascii="宋体" w:hAnsi="宋体"/>
                <w:bCs/>
                <w:szCs w:val="21"/>
                <w:lang w:val="en-US" w:eastAsia="zh-CN"/>
              </w:rPr>
              <w:t>支持</w:t>
            </w:r>
            <w:r>
              <w:rPr>
                <w:rFonts w:hint="eastAsia" w:ascii="宋体" w:hAnsi="宋体"/>
                <w:bCs/>
                <w:szCs w:val="21"/>
              </w:rPr>
              <w:t>缓存数据保护，配置掉电保护模块</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9</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PCI I/O插槽</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最多提供≥1</w:t>
            </w:r>
            <w:r>
              <w:rPr>
                <w:rFonts w:ascii="宋体" w:hAnsi="宋体"/>
                <w:bCs/>
                <w:szCs w:val="21"/>
              </w:rPr>
              <w:t>1</w:t>
            </w:r>
            <w:r>
              <w:rPr>
                <w:rFonts w:hint="eastAsia" w:ascii="宋体" w:hAnsi="宋体"/>
                <w:bCs/>
                <w:szCs w:val="21"/>
              </w:rPr>
              <w:t>个PCIE4.0</w:t>
            </w:r>
            <w:r>
              <w:rPr>
                <w:rFonts w:hint="eastAsia" w:ascii="宋体" w:hAnsi="宋体"/>
                <w:bCs/>
                <w:szCs w:val="21"/>
                <w:lang w:val="en-US" w:eastAsia="zh-CN"/>
              </w:rPr>
              <w:t xml:space="preserve"> x16</w:t>
            </w:r>
            <w:r>
              <w:rPr>
                <w:rFonts w:hint="eastAsia" w:ascii="宋体" w:hAnsi="宋体"/>
                <w:bCs/>
                <w:szCs w:val="21"/>
              </w:rPr>
              <w:t>插槽</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10</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网卡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配置≥2个10Gb SFP+光模块，≥4个 1GE接口。</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IB卡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color w:val="000000" w:themeColor="text1"/>
                <w:szCs w:val="21"/>
                <w14:textFill>
                  <w14:solidFill>
                    <w14:schemeClr w14:val="tx1"/>
                  </w14:solidFill>
                </w14:textFill>
              </w:rPr>
              <w:t>≥</w:t>
            </w:r>
            <w:r>
              <w:rPr>
                <w:rFonts w:hint="eastAsia" w:ascii="宋体" w:hAnsi="宋体"/>
                <w:bCs/>
                <w:color w:val="000000" w:themeColor="text1"/>
                <w:szCs w:val="21"/>
                <w:lang w:val="en-US" w:eastAsia="zh-CN"/>
                <w14:textFill>
                  <w14:solidFill>
                    <w14:schemeClr w14:val="tx1"/>
                  </w14:solidFill>
                </w14:textFill>
              </w:rPr>
              <w:t>1个</w:t>
            </w:r>
            <w:r>
              <w:rPr>
                <w:rFonts w:hint="eastAsia" w:ascii="宋体" w:hAnsi="宋体"/>
                <w:bCs/>
                <w:color w:val="000000" w:themeColor="text1"/>
                <w:szCs w:val="21"/>
                <w14:textFill>
                  <w14:solidFill>
                    <w14:schemeClr w14:val="tx1"/>
                  </w14:solidFill>
                </w14:textFill>
              </w:rPr>
              <w:t>2口100Gb Infiniband HDR/Ethernet适配卡(支持QSFP56光模块)。</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电源产品认证</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≥2个</w:t>
            </w:r>
            <w:r>
              <w:rPr>
                <w:rFonts w:ascii="宋体" w:hAnsi="宋体"/>
                <w:bCs/>
                <w:szCs w:val="21"/>
              </w:rPr>
              <w:t>8</w:t>
            </w:r>
            <w:r>
              <w:rPr>
                <w:rFonts w:hint="eastAsia" w:ascii="宋体" w:hAnsi="宋体"/>
                <w:bCs/>
                <w:szCs w:val="21"/>
              </w:rPr>
              <w:t>00</w:t>
            </w:r>
            <w:r>
              <w:rPr>
                <w:rFonts w:hint="eastAsia" w:ascii="宋体" w:hAnsi="宋体"/>
                <w:bCs/>
                <w:szCs w:val="21"/>
                <w:lang w:val="en-US" w:eastAsia="zh-CN"/>
              </w:rPr>
              <w:t xml:space="preserve">W </w:t>
            </w:r>
            <w:r>
              <w:rPr>
                <w:rFonts w:hint="eastAsia" w:ascii="宋体" w:hAnsi="宋体"/>
                <w:bCs/>
                <w:szCs w:val="21"/>
              </w:rPr>
              <w:t>100-240VAC或240HVDC 80+白金牌热插拔冗余电源。</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冷却系统</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w:t>
            </w:r>
            <w:r>
              <w:rPr>
                <w:rFonts w:hint="eastAsia" w:ascii="宋体" w:hAnsi="宋体"/>
                <w:bCs/>
                <w:szCs w:val="21"/>
                <w:lang w:val="en-US" w:eastAsia="zh-CN"/>
              </w:rPr>
              <w:t>4</w:t>
            </w:r>
            <w:r>
              <w:rPr>
                <w:rFonts w:hint="eastAsia" w:ascii="宋体" w:hAnsi="宋体"/>
                <w:bCs/>
                <w:szCs w:val="21"/>
              </w:rPr>
              <w:t>个热插拔冗余风扇，支持N+1冗余。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可管理性</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Times New Roman"/>
                <w:bCs/>
                <w:kern w:val="2"/>
                <w:sz w:val="21"/>
                <w:szCs w:val="21"/>
                <w:lang w:val="en-US" w:eastAsia="zh-CN" w:bidi="ar-SA"/>
              </w:rPr>
            </w:pPr>
            <w:r>
              <w:rPr>
                <w:rFonts w:hint="eastAsia" w:ascii="宋体" w:hAnsi="宋体"/>
                <w:bCs/>
                <w:szCs w:val="21"/>
              </w:rPr>
              <w:t>配置≥1Gb独立的远程管理控制端口；配置虚拟KVM功能,支持对服务器与操作系统无关且完全控制的远程功能，包括远程的开机、关机、重启、更新Firmware、虚拟光驱、虚拟文件夹等操作，提供服务器健康日记、服务器控制台录屏/回放功能，提供电源监控。</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15</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带外升级</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为简化服务器的运维管理，服务器支持不依赖</w:t>
            </w:r>
            <w:r>
              <w:rPr>
                <w:rFonts w:hint="eastAsia" w:ascii="宋体" w:hAnsi="宋体"/>
                <w:bCs/>
                <w:szCs w:val="21"/>
                <w:lang w:val="en-US" w:eastAsia="zh-CN"/>
              </w:rPr>
              <w:t>操作系统</w:t>
            </w:r>
            <w:r>
              <w:rPr>
                <w:rFonts w:hint="eastAsia" w:ascii="宋体" w:hAnsi="宋体"/>
                <w:bCs/>
                <w:szCs w:val="21"/>
              </w:rPr>
              <w:t>可带外一次升级多个部件的固件（如网卡部件、存储卡部件等），无需多次升级，要求提供CNAS认可的检测机构出具的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6</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Times New Roman"/>
                <w:bCs/>
                <w:kern w:val="2"/>
                <w:sz w:val="21"/>
                <w:szCs w:val="21"/>
                <w:lang w:val="en-US" w:eastAsia="zh-CN" w:bidi="ar-SA"/>
              </w:rPr>
            </w:pPr>
            <w:r>
              <w:rPr>
                <w:rFonts w:hint="eastAsia" w:ascii="宋体" w:hAnsi="宋体"/>
                <w:bCs/>
                <w:szCs w:val="21"/>
              </w:rPr>
              <w:t>联合管理</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管理软件联合管理支持</w:t>
            </w:r>
            <w:r>
              <w:rPr>
                <w:rFonts w:hint="eastAsia" w:ascii="宋体" w:hAnsi="宋体"/>
                <w:bCs/>
                <w:szCs w:val="21"/>
                <w:lang w:val="en-US" w:eastAsia="zh-CN"/>
              </w:rPr>
              <w:t>对同机房、网络互通</w:t>
            </w:r>
            <w:r>
              <w:rPr>
                <w:rFonts w:hint="eastAsia" w:ascii="宋体" w:hAnsi="宋体"/>
                <w:bCs/>
                <w:szCs w:val="21"/>
              </w:rPr>
              <w:t>的</w:t>
            </w:r>
            <w:r>
              <w:rPr>
                <w:rFonts w:hint="eastAsia" w:ascii="宋体" w:hAnsi="宋体"/>
                <w:bCs/>
                <w:szCs w:val="21"/>
                <w:lang w:val="en-US" w:eastAsia="zh-CN"/>
              </w:rPr>
              <w:t>服务器</w:t>
            </w:r>
            <w:r>
              <w:rPr>
                <w:rFonts w:hint="eastAsia" w:ascii="宋体" w:hAnsi="宋体"/>
                <w:bCs/>
                <w:szCs w:val="21"/>
              </w:rPr>
              <w:t>直接管理，简化了小规模服务器的统一管理，要求提供CNAS认可的检测机构出具的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7</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Times New Roman"/>
                <w:bCs/>
                <w:kern w:val="2"/>
                <w:sz w:val="21"/>
                <w:szCs w:val="21"/>
                <w:lang w:val="en-US" w:eastAsia="zh-CN" w:bidi="ar-SA"/>
              </w:rPr>
            </w:pPr>
            <w:r>
              <w:rPr>
                <w:rFonts w:hint="eastAsia" w:ascii="宋体" w:hAnsi="宋体"/>
                <w:bCs/>
                <w:szCs w:val="21"/>
              </w:rPr>
              <w:t>温度监测</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支持展示各组件温度传感器的分布图，可让用户直观感知服务器整体温感状态，要求提供CNAS认可的检测机构出具的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rPr>
              <w:t>1</w:t>
            </w:r>
            <w:r>
              <w:rPr>
                <w:rFonts w:ascii="宋体" w:hAnsi="宋体"/>
                <w:bCs/>
                <w:szCs w:val="21"/>
              </w:rPr>
              <w:t>8</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离线固件更新</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支持离线固件更新功能，批量更新option的固件；要求提供CNAS认可的检测机构出具的相关证明材料。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19</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ascii="宋体" w:hAnsi="宋体" w:eastAsia="宋体" w:cs="Times New Roman"/>
                <w:bCs/>
                <w:szCs w:val="21"/>
              </w:rPr>
              <w:t>服务器添加</w:t>
            </w:r>
          </w:p>
        </w:tc>
        <w:tc>
          <w:tcPr>
            <w:tcW w:w="662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hint="eastAsia" w:ascii="宋体" w:hAnsi="宋体" w:eastAsia="宋体" w:cs="Times New Roman"/>
                <w:bCs/>
                <w:szCs w:val="21"/>
              </w:rPr>
              <w:t>服务器统一管理软件支持通过设备发现/手动添加/批量导入三种方式添加服务器</w:t>
            </w:r>
            <w:r>
              <w:rPr>
                <w:rFonts w:hint="eastAsia" w:ascii="宋体" w:hAnsi="宋体" w:cs="Times New Roman"/>
                <w:bCs/>
                <w:szCs w:val="21"/>
                <w:lang w:eastAsia="zh-CN"/>
              </w:rPr>
              <w:t>，</w:t>
            </w:r>
            <w:r>
              <w:rPr>
                <w:rFonts w:hint="eastAsia" w:ascii="宋体" w:hAnsi="宋体"/>
                <w:bCs/>
                <w:szCs w:val="21"/>
              </w:rPr>
              <w:t>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Times New Roman"/>
                <w:bCs/>
                <w:kern w:val="2"/>
                <w:sz w:val="21"/>
                <w:szCs w:val="21"/>
                <w:lang w:val="en-US" w:eastAsia="zh-CN" w:bidi="ar-SA"/>
              </w:rPr>
            </w:pPr>
            <w:r>
              <w:rPr>
                <w:rFonts w:hint="eastAsia" w:ascii="宋体" w:hAnsi="宋体"/>
                <w:bCs/>
                <w:szCs w:val="21"/>
                <w:lang w:val="en-US" w:eastAsia="zh-CN"/>
              </w:rPr>
              <w:t>20</w:t>
            </w:r>
          </w:p>
        </w:tc>
        <w:tc>
          <w:tcPr>
            <w:tcW w:w="1630" w:type="dxa"/>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eastAsia="宋体" w:cs="Times New Roman"/>
                <w:bCs/>
                <w:kern w:val="2"/>
                <w:sz w:val="21"/>
                <w:szCs w:val="21"/>
                <w:lang w:val="en-US" w:eastAsia="zh-CN" w:bidi="ar-SA"/>
              </w:rPr>
            </w:pPr>
            <w:r>
              <w:rPr>
                <w:rFonts w:ascii="宋体" w:hAnsi="宋体" w:eastAsia="宋体" w:cs="Times New Roman"/>
                <w:bCs/>
                <w:szCs w:val="21"/>
              </w:rPr>
              <w:t>服务器配置模板</w:t>
            </w:r>
          </w:p>
        </w:tc>
        <w:tc>
          <w:tcPr>
            <w:tcW w:w="6620" w:type="dxa"/>
            <w:tcBorders>
              <w:top w:val="single" w:color="000000" w:sz="4" w:space="0"/>
              <w:left w:val="single" w:color="000000" w:sz="4" w:space="0"/>
              <w:bottom w:val="single" w:color="000000" w:sz="4" w:space="0"/>
              <w:right w:val="single" w:color="000000" w:sz="4" w:space="0"/>
            </w:tcBorders>
            <w:vAlign w:val="center"/>
          </w:tcPr>
          <w:p>
            <w:pPr>
              <w:widowControl/>
              <w:rPr>
                <w:rFonts w:hint="eastAsia" w:ascii="宋体" w:hAnsi="宋体" w:eastAsia="宋体" w:cs="Times New Roman"/>
                <w:bCs/>
                <w:kern w:val="2"/>
                <w:sz w:val="21"/>
                <w:szCs w:val="21"/>
                <w:lang w:val="en-US" w:eastAsia="zh-CN" w:bidi="ar-SA"/>
              </w:rPr>
            </w:pPr>
            <w:r>
              <w:rPr>
                <w:rFonts w:hint="eastAsia" w:ascii="宋体" w:hAnsi="宋体" w:eastAsia="宋体" w:cs="Times New Roman"/>
                <w:bCs/>
                <w:szCs w:val="21"/>
              </w:rPr>
              <w:t>支持通过服务器配置模板批量应用进行B</w:t>
            </w:r>
            <w:r>
              <w:rPr>
                <w:rFonts w:ascii="宋体" w:hAnsi="宋体" w:eastAsia="宋体" w:cs="Times New Roman"/>
                <w:bCs/>
                <w:szCs w:val="21"/>
              </w:rPr>
              <w:t>IOS设置、</w:t>
            </w:r>
            <w:r>
              <w:rPr>
                <w:rFonts w:hint="eastAsia" w:ascii="宋体" w:hAnsi="宋体" w:eastAsia="宋体" w:cs="Times New Roman"/>
                <w:bCs/>
                <w:szCs w:val="21"/>
              </w:rPr>
              <w:t>R</w:t>
            </w:r>
            <w:r>
              <w:rPr>
                <w:rFonts w:ascii="宋体" w:hAnsi="宋体" w:eastAsia="宋体" w:cs="Times New Roman"/>
                <w:bCs/>
                <w:szCs w:val="21"/>
              </w:rPr>
              <w:t>AID设置、</w:t>
            </w:r>
            <w:r>
              <w:rPr>
                <w:rFonts w:hint="eastAsia" w:ascii="宋体" w:hAnsi="宋体"/>
                <w:bCs/>
                <w:szCs w:val="21"/>
                <w:lang w:val="en-US" w:eastAsia="zh-CN"/>
              </w:rPr>
              <w:t>操作系统</w:t>
            </w:r>
            <w:r>
              <w:rPr>
                <w:rFonts w:ascii="宋体" w:hAnsi="宋体" w:eastAsia="宋体" w:cs="Times New Roman"/>
                <w:bCs/>
                <w:szCs w:val="21"/>
              </w:rPr>
              <w:t>安装</w:t>
            </w:r>
            <w:r>
              <w:rPr>
                <w:rFonts w:hint="eastAsia" w:ascii="宋体" w:hAnsi="宋体" w:eastAsia="宋体" w:cs="Times New Roman"/>
                <w:bCs/>
                <w:szCs w:val="21"/>
              </w:rPr>
              <w:t>，</w:t>
            </w:r>
            <w:r>
              <w:rPr>
                <w:rFonts w:hint="eastAsia" w:ascii="宋体" w:hAnsi="宋体"/>
                <w:bCs/>
                <w:szCs w:val="21"/>
              </w:rPr>
              <w:t>要求提供CNAS认可的检测机构出具的相关证明材料。</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21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密码认证</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支持对于</w:t>
            </w:r>
            <w:r>
              <w:rPr>
                <w:rFonts w:hint="eastAsia" w:ascii="宋体" w:hAnsi="宋体"/>
                <w:bCs/>
                <w:szCs w:val="21"/>
                <w:lang w:val="en-US" w:eastAsia="zh-CN"/>
              </w:rPr>
              <w:t>登录</w:t>
            </w:r>
            <w:r>
              <w:rPr>
                <w:rFonts w:hint="eastAsia" w:ascii="宋体" w:hAnsi="宋体"/>
                <w:bCs/>
                <w:szCs w:val="21"/>
              </w:rPr>
              <w:t>服务器管理软件的用户执行双因素认证(如静态密码和随机动态密码结合的方式)。要求提供CNAS认可的检测机构出具的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eastAsia="宋体" w:cs="Times New Roman"/>
                <w:bCs/>
                <w:kern w:val="2"/>
                <w:sz w:val="21"/>
                <w:szCs w:val="21"/>
                <w:lang w:val="en-US" w:eastAsia="zh-CN" w:bidi="ar-SA"/>
              </w:rPr>
            </w:pPr>
            <w:r>
              <w:rPr>
                <w:rFonts w:hint="eastAsia" w:ascii="宋体" w:hAnsi="宋体"/>
                <w:bCs/>
                <w:szCs w:val="21"/>
                <w:lang w:val="en-US" w:eastAsia="zh-CN"/>
              </w:rPr>
              <w:t>22</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诊断日志</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Times New Roman"/>
                <w:bCs/>
                <w:kern w:val="2"/>
                <w:sz w:val="21"/>
                <w:szCs w:val="21"/>
                <w:lang w:val="en-US" w:eastAsia="zh-CN" w:bidi="ar-SA"/>
              </w:rPr>
            </w:pPr>
            <w:r>
              <w:rPr>
                <w:rFonts w:hint="eastAsia" w:ascii="宋体" w:hAnsi="宋体"/>
                <w:bCs/>
                <w:szCs w:val="21"/>
              </w:rPr>
              <w:t>支持通过服务U盘下载服务器设备故障诊断日志。要求提供CNAS认可的检测机构出具的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23</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应急诊断</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eastAsia="宋体" w:cs="Times New Roman"/>
                <w:bCs/>
                <w:kern w:val="2"/>
                <w:sz w:val="21"/>
                <w:szCs w:val="21"/>
                <w:lang w:val="en-US" w:eastAsia="zh-CN" w:bidi="ar-SA"/>
              </w:rPr>
            </w:pPr>
            <w:r>
              <w:rPr>
                <w:rFonts w:hint="eastAsia" w:ascii="宋体" w:hAnsi="宋体"/>
                <w:bCs/>
                <w:szCs w:val="21"/>
              </w:rPr>
              <w:t>当服务器因可更换硬件故障导致启动进程挂死在POST阶段时，可以使用应急诊断功能，开启后即可自动诊断，并输出时间戳及诊断结果等信息，要求提供CNAS认可的检测机构出具的</w:t>
            </w:r>
            <w:r>
              <w:rPr>
                <w:rFonts w:hint="eastAsia" w:ascii="宋体" w:hAnsi="宋体"/>
                <w:bCs/>
                <w:szCs w:val="21"/>
                <w:lang w:val="en-US" w:eastAsia="zh-CN"/>
              </w:rPr>
              <w:t>相关证明材料</w:t>
            </w:r>
            <w:r>
              <w:rPr>
                <w:rFonts w:hint="eastAsia" w:ascii="宋体" w:hAnsi="宋体"/>
                <w:bCs/>
                <w:szCs w:val="21"/>
                <w:lang w:eastAsia="zh-CN"/>
              </w:rPr>
              <w:t>。</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24</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szCs w:val="21"/>
              </w:rPr>
            </w:pPr>
            <w:r>
              <w:rPr>
                <w:rFonts w:hint="eastAsia" w:ascii="宋体" w:hAnsi="宋体"/>
                <w:bCs/>
                <w:szCs w:val="21"/>
              </w:rPr>
              <w:t>售后服务</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bCs/>
                <w:szCs w:val="21"/>
                <w:lang w:eastAsia="zh-CN"/>
              </w:rPr>
            </w:pPr>
            <w:r>
              <w:rPr>
                <w:rFonts w:hint="eastAsia" w:ascii="宋体" w:hAnsi="宋体"/>
                <w:bCs/>
                <w:szCs w:val="21"/>
              </w:rPr>
              <w:t>提供原厂商首次安装服务和3年7*24小时维保服务</w:t>
            </w:r>
            <w:r>
              <w:rPr>
                <w:rFonts w:hint="eastAsia" w:ascii="宋体" w:hAnsi="宋体"/>
                <w:bCs/>
                <w:szCs w:val="21"/>
                <w:lang w:eastAsia="zh-CN"/>
              </w:rPr>
              <w:t>。</w:t>
            </w:r>
          </w:p>
        </w:tc>
      </w:tr>
    </w:tbl>
    <w:p/>
    <w:p>
      <w:pPr>
        <w:pStyle w:val="71"/>
        <w:spacing w:before="156" w:after="156"/>
      </w:pPr>
      <w:r>
        <w:t>3</w:t>
      </w:r>
      <w:r>
        <w:rPr>
          <w:rFonts w:hint="eastAsia"/>
          <w:lang w:eastAsia="zh-CN"/>
        </w:rPr>
        <w:t>.</w:t>
      </w:r>
      <w:r>
        <w:rPr>
          <w:rFonts w:hint="eastAsia"/>
          <w:lang w:val="en-US" w:eastAsia="zh-CN"/>
        </w:rPr>
        <w:t>3</w:t>
      </w:r>
      <w:r>
        <w:t>、</w:t>
      </w:r>
      <w:r>
        <w:rPr>
          <w:rFonts w:hint="eastAsia"/>
        </w:rPr>
        <w:t>I</w:t>
      </w:r>
      <w:r>
        <w:t>B线缆</w:t>
      </w:r>
    </w:p>
    <w:tbl>
      <w:tblPr>
        <w:tblStyle w:val="22"/>
        <w:tblW w:w="9210" w:type="dxa"/>
        <w:tblInd w:w="96" w:type="dxa"/>
        <w:tblLayout w:type="autofit"/>
        <w:tblCellMar>
          <w:top w:w="0" w:type="dxa"/>
          <w:left w:w="108" w:type="dxa"/>
          <w:bottom w:w="0" w:type="dxa"/>
          <w:right w:w="108" w:type="dxa"/>
        </w:tblCellMar>
      </w:tblPr>
      <w:tblGrid>
        <w:gridCol w:w="960"/>
        <w:gridCol w:w="1630"/>
        <w:gridCol w:w="6620"/>
      </w:tblGrid>
      <w:tr>
        <w:tblPrEx>
          <w:tblCellMar>
            <w:top w:w="0" w:type="dxa"/>
            <w:left w:w="108" w:type="dxa"/>
            <w:bottom w:w="0" w:type="dxa"/>
            <w:right w:w="108" w:type="dxa"/>
          </w:tblCellMar>
        </w:tblPrEx>
        <w:trPr>
          <w:cantSplit/>
          <w:trHeight w:val="499" w:hRule="atLeast"/>
          <w:tblHeader/>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序号</w:t>
            </w:r>
          </w:p>
        </w:tc>
        <w:tc>
          <w:tcPr>
            <w:tcW w:w="16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指标项</w:t>
            </w:r>
          </w:p>
        </w:tc>
        <w:tc>
          <w:tcPr>
            <w:tcW w:w="66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技术规格要求</w:t>
            </w:r>
          </w:p>
        </w:tc>
      </w:tr>
      <w:tr>
        <w:tblPrEx>
          <w:tblCellMar>
            <w:top w:w="0" w:type="dxa"/>
            <w:left w:w="108" w:type="dxa"/>
            <w:bottom w:w="0" w:type="dxa"/>
            <w:right w:w="108" w:type="dxa"/>
          </w:tblCellMar>
        </w:tblPrEx>
        <w:trPr>
          <w:cantSplit/>
          <w:trHeight w:val="499" w:hRule="atLeast"/>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1</w:t>
            </w:r>
          </w:p>
        </w:tc>
        <w:tc>
          <w:tcPr>
            <w:tcW w:w="163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rPr>
            </w:pPr>
            <w:r>
              <w:rPr>
                <w:rFonts w:hint="eastAsia" w:ascii="宋体" w:hAnsi="宋体"/>
                <w:bCs/>
              </w:rPr>
              <w:t>I</w:t>
            </w:r>
            <w:r>
              <w:rPr>
                <w:rFonts w:ascii="宋体" w:hAnsi="宋体"/>
                <w:bCs/>
              </w:rPr>
              <w:t>B线缆</w:t>
            </w:r>
          </w:p>
        </w:tc>
        <w:tc>
          <w:tcPr>
            <w:tcW w:w="66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bCs/>
              </w:rPr>
            </w:pPr>
            <w:r>
              <w:rPr>
                <w:rFonts w:hint="eastAsia" w:ascii="宋体" w:hAnsi="宋体"/>
                <w:bCs/>
              </w:rPr>
              <w:t>兼容现有3</w:t>
            </w:r>
            <w:r>
              <w:rPr>
                <w:rFonts w:ascii="宋体" w:hAnsi="宋体"/>
                <w:bCs/>
              </w:rPr>
              <w:t>6口</w:t>
            </w:r>
            <w:r>
              <w:rPr>
                <w:rFonts w:hint="eastAsia" w:ascii="宋体" w:hAnsi="宋体"/>
                <w:bCs/>
              </w:rPr>
              <w:t>E</w:t>
            </w:r>
            <w:r>
              <w:rPr>
                <w:rFonts w:ascii="宋体" w:hAnsi="宋体"/>
                <w:bCs/>
              </w:rPr>
              <w:t>DR100交换机</w:t>
            </w:r>
            <w:r>
              <w:rPr>
                <w:rFonts w:hint="eastAsia" w:ascii="宋体" w:hAnsi="宋体"/>
                <w:bCs/>
                <w:lang w:eastAsia="zh-CN"/>
              </w:rPr>
              <w:t>，</w:t>
            </w:r>
            <w:r>
              <w:rPr>
                <w:rFonts w:hint="eastAsia" w:ascii="宋体" w:hAnsi="宋体"/>
                <w:bCs/>
              </w:rPr>
              <w:t>配置3</w:t>
            </w:r>
            <w:r>
              <w:rPr>
                <w:rFonts w:ascii="宋体" w:hAnsi="宋体"/>
                <w:bCs/>
              </w:rPr>
              <w:t>M 100G</w:t>
            </w:r>
            <w:r>
              <w:rPr>
                <w:rFonts w:hint="eastAsia" w:ascii="宋体" w:hAnsi="宋体"/>
                <w:bCs/>
                <w:lang w:val="en-US" w:eastAsia="zh-CN"/>
              </w:rPr>
              <w:t>b</w:t>
            </w:r>
            <w:r>
              <w:rPr>
                <w:rFonts w:ascii="宋体" w:hAnsi="宋体"/>
                <w:bCs/>
              </w:rPr>
              <w:t xml:space="preserve"> IB线缆</w:t>
            </w:r>
            <w:r>
              <w:rPr>
                <w:rFonts w:hint="eastAsia" w:ascii="宋体" w:hAnsi="宋体"/>
                <w:bCs/>
                <w:lang w:eastAsia="zh-CN"/>
              </w:rPr>
              <w:t>。</w:t>
            </w:r>
          </w:p>
        </w:tc>
      </w:tr>
    </w:tbl>
    <w:p>
      <w:pPr>
        <w:pStyle w:val="71"/>
        <w:spacing w:before="156" w:after="156"/>
        <w:rPr>
          <w:rFonts w:hint="eastAsia"/>
        </w:rPr>
      </w:pPr>
    </w:p>
    <w:p>
      <w:pPr>
        <w:pStyle w:val="71"/>
        <w:spacing w:before="156" w:after="156"/>
      </w:pPr>
      <w:r>
        <w:rPr>
          <w:rFonts w:hint="eastAsia"/>
          <w:lang w:val="en-US" w:eastAsia="zh-CN"/>
        </w:rPr>
        <w:t>3.</w:t>
      </w:r>
      <w:r>
        <w:rPr>
          <w:rFonts w:hint="eastAsia"/>
        </w:rPr>
        <w:t>4、高性能计算管理平台</w:t>
      </w:r>
    </w:p>
    <w:tbl>
      <w:tblPr>
        <w:tblStyle w:val="22"/>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701"/>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88"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1701"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指标项</w:t>
            </w:r>
          </w:p>
        </w:tc>
        <w:tc>
          <w:tcPr>
            <w:tcW w:w="652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科研计算平台总体要求</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提供拥有软件著作权的商业版本管理软件。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lang w:val="en-US" w:eastAsia="zh-CN"/>
              </w:rPr>
              <w:t>兼容现有服务器并授权，</w:t>
            </w:r>
            <w:r>
              <w:rPr>
                <w:rFonts w:hint="eastAsia" w:ascii="宋体" w:hAnsi="宋体" w:cs="宋体"/>
                <w:color w:val="000000"/>
                <w:kern w:val="0"/>
                <w:szCs w:val="21"/>
              </w:rPr>
              <w:t>提供本次项目所有</w:t>
            </w:r>
            <w:r>
              <w:rPr>
                <w:rFonts w:hint="eastAsia" w:ascii="宋体" w:hAnsi="宋体" w:cs="宋体"/>
                <w:color w:val="000000"/>
                <w:kern w:val="0"/>
                <w:szCs w:val="21"/>
                <w:lang w:val="en-US" w:eastAsia="zh-CN"/>
              </w:rPr>
              <w:t>服务器</w:t>
            </w:r>
            <w:r>
              <w:rPr>
                <w:rFonts w:hint="eastAsia" w:ascii="宋体" w:hAnsi="宋体" w:cs="宋体"/>
                <w:color w:val="000000"/>
                <w:kern w:val="0"/>
                <w:szCs w:val="21"/>
              </w:rPr>
              <w:t>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能根据用户的需求或使用习惯进行定制化开发。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科研计算平台架构和系统支持</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统一平台，统一资源池，统一资源调度。支持调度多种任务类型，包括单节点容器、虚拟机、多节点HPC集群、AI训练集群等。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同时支持两类资源虚拟化技术，包括虚拟机虚拟化和容器虚拟化技术。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支持银河麒麟高级服务器操作系统</w:t>
            </w:r>
            <w:r>
              <w:rPr>
                <w:rFonts w:hint="eastAsia" w:ascii="宋体" w:hAnsi="宋体" w:cs="宋体"/>
                <w:color w:val="000000"/>
                <w:kern w:val="0"/>
                <w:szCs w:val="21"/>
                <w:lang w:val="en-US" w:eastAsia="zh-CN"/>
              </w:rPr>
              <w:t>V8及以上、Windows server 2012及以上，</w:t>
            </w:r>
            <w:r>
              <w:rPr>
                <w:rFonts w:hint="eastAsia" w:ascii="宋体" w:hAnsi="宋体" w:cs="宋体"/>
                <w:color w:val="000000"/>
                <w:kern w:val="0"/>
                <w:szCs w:val="21"/>
              </w:rPr>
              <w:t>提供</w:t>
            </w:r>
            <w:r>
              <w:rPr>
                <w:rFonts w:hint="eastAsia" w:ascii="宋体" w:hAnsi="宋体" w:cs="宋体"/>
                <w:color w:val="000000"/>
                <w:kern w:val="0"/>
                <w:szCs w:val="21"/>
                <w:lang w:val="en-US" w:eastAsia="zh-CN"/>
              </w:rPr>
              <w:t>操作系统的</w:t>
            </w:r>
            <w:r>
              <w:rPr>
                <w:rFonts w:hint="eastAsia" w:ascii="宋体" w:hAnsi="宋体" w:cs="宋体"/>
                <w:color w:val="000000"/>
                <w:kern w:val="0"/>
                <w:szCs w:val="21"/>
              </w:rPr>
              <w:t>部署模板。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支持Intel、</w:t>
            </w:r>
            <w:r>
              <w:rPr>
                <w:rFonts w:hint="eastAsia" w:ascii="宋体" w:hAnsi="宋体" w:cs="宋体"/>
                <w:color w:val="000000"/>
                <w:kern w:val="0"/>
                <w:szCs w:val="21"/>
                <w:lang w:val="en-US" w:eastAsia="zh-CN"/>
              </w:rPr>
              <w:t>AMD</w:t>
            </w:r>
            <w:r>
              <w:rPr>
                <w:rFonts w:hint="eastAsia" w:ascii="宋体" w:hAnsi="宋体" w:cs="宋体"/>
                <w:color w:val="000000"/>
                <w:kern w:val="0"/>
                <w:szCs w:val="21"/>
              </w:rPr>
              <w:t>、</w:t>
            </w:r>
            <w:r>
              <w:rPr>
                <w:rFonts w:ascii="宋体" w:hAnsi="宋体" w:cs="宋体"/>
                <w:color w:val="000000"/>
                <w:kern w:val="0"/>
                <w:szCs w:val="21"/>
              </w:rPr>
              <w:t>ARM</w:t>
            </w:r>
            <w:r>
              <w:rPr>
                <w:rFonts w:hint="eastAsia" w:ascii="宋体" w:hAnsi="宋体" w:cs="宋体"/>
                <w:color w:val="000000"/>
                <w:kern w:val="0"/>
                <w:szCs w:val="21"/>
              </w:rPr>
              <w:t>等架构服务器，支持</w:t>
            </w:r>
            <w:r>
              <w:rPr>
                <w:rFonts w:ascii="宋体" w:hAnsi="宋体" w:cs="宋体"/>
                <w:color w:val="000000"/>
                <w:kern w:val="0"/>
                <w:szCs w:val="21"/>
              </w:rPr>
              <w:t>NVIDIA GPU</w:t>
            </w:r>
            <w:r>
              <w:rPr>
                <w:rFonts w:hint="eastAsia" w:ascii="宋体" w:hAnsi="宋体" w:cs="宋体"/>
                <w:color w:val="000000"/>
                <w:kern w:val="0"/>
                <w:szCs w:val="21"/>
              </w:rPr>
              <w:t>、F</w:t>
            </w:r>
            <w:r>
              <w:rPr>
                <w:rFonts w:ascii="宋体" w:hAnsi="宋体" w:cs="宋体"/>
                <w:color w:val="000000"/>
                <w:kern w:val="0"/>
                <w:szCs w:val="21"/>
              </w:rPr>
              <w:t>PGA</w:t>
            </w:r>
            <w:r>
              <w:rPr>
                <w:rFonts w:hint="eastAsia" w:ascii="宋体" w:hAnsi="宋体" w:cs="宋体"/>
                <w:color w:val="000000"/>
                <w:kern w:val="0"/>
                <w:szCs w:val="21"/>
              </w:rPr>
              <w:t>、a</w:t>
            </w:r>
            <w:r>
              <w:rPr>
                <w:rFonts w:ascii="宋体" w:hAnsi="宋体" w:cs="宋体"/>
                <w:color w:val="000000"/>
                <w:kern w:val="0"/>
                <w:szCs w:val="21"/>
              </w:rPr>
              <w:t>tla</w:t>
            </w:r>
            <w:r>
              <w:rPr>
                <w:rFonts w:hint="eastAsia" w:ascii="宋体" w:hAnsi="宋体" w:cs="宋体"/>
                <w:color w:val="000000"/>
                <w:kern w:val="0"/>
                <w:szCs w:val="21"/>
              </w:rPr>
              <w:t>s等异构服务器，支持Infiniband和roce RDMA网络，支持至少3个硬件厂家存储设备。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科研计算平台系统管理要求</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提供不少于三种角色，包括系统管理员、群组管理员和普通用户；支持群组管理员和普通用户创建群组并邀请其他用户加入</w:t>
            </w:r>
            <w:r>
              <w:rPr>
                <w:rFonts w:hint="eastAsia" w:ascii="宋体" w:hAnsi="宋体" w:cs="宋体"/>
                <w:color w:val="000000"/>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支持对用户的资源使用量进行限额，便于管理员合理分配集群资源，可以修改每个用户或用户组的最大可用</w:t>
            </w:r>
            <w:r>
              <w:rPr>
                <w:rFonts w:ascii="宋体" w:hAnsi="宋体" w:cs="Calibri"/>
                <w:color w:val="000000"/>
                <w:kern w:val="0"/>
                <w:szCs w:val="21"/>
              </w:rPr>
              <w:t>CPU</w:t>
            </w:r>
            <w:r>
              <w:rPr>
                <w:rFonts w:hint="eastAsia" w:ascii="宋体" w:hAnsi="宋体" w:cs="宋体"/>
                <w:color w:val="000000"/>
                <w:kern w:val="0"/>
                <w:szCs w:val="21"/>
              </w:rPr>
              <w:t>核数、</w:t>
            </w:r>
            <w:r>
              <w:rPr>
                <w:rFonts w:ascii="宋体" w:hAnsi="宋体" w:cs="Calibri"/>
                <w:color w:val="000000"/>
                <w:kern w:val="0"/>
                <w:szCs w:val="21"/>
              </w:rPr>
              <w:t>GPU</w:t>
            </w:r>
            <w:r>
              <w:rPr>
                <w:rFonts w:hint="eastAsia" w:ascii="宋体" w:hAnsi="宋体" w:cs="宋体"/>
                <w:color w:val="000000"/>
                <w:kern w:val="0"/>
                <w:szCs w:val="21"/>
              </w:rPr>
              <w:t>个数、内存使用量、存储空间、实例数等。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支持管理员对应用运行时所需环境的配置修改，参数包含所属资源池、</w:t>
            </w:r>
            <w:r>
              <w:rPr>
                <w:rFonts w:ascii="宋体" w:hAnsi="宋体" w:cs="Calibri"/>
                <w:color w:val="000000"/>
                <w:kern w:val="0"/>
                <w:szCs w:val="21"/>
              </w:rPr>
              <w:t>CPU</w:t>
            </w:r>
            <w:r>
              <w:rPr>
                <w:rFonts w:hint="eastAsia" w:ascii="宋体" w:hAnsi="宋体" w:cs="宋体"/>
                <w:color w:val="000000"/>
                <w:kern w:val="0"/>
                <w:szCs w:val="21"/>
              </w:rPr>
              <w:t>、内存、</w:t>
            </w:r>
            <w:r>
              <w:rPr>
                <w:rFonts w:ascii="宋体" w:hAnsi="宋体" w:cs="Calibri"/>
                <w:color w:val="000000"/>
                <w:kern w:val="0"/>
                <w:szCs w:val="21"/>
              </w:rPr>
              <w:t>GPU</w:t>
            </w:r>
            <w:r>
              <w:rPr>
                <w:rFonts w:hint="eastAsia" w:ascii="宋体" w:hAnsi="宋体" w:cs="宋体"/>
                <w:color w:val="000000"/>
                <w:kern w:val="0"/>
                <w:szCs w:val="21"/>
              </w:rPr>
              <w:t>、块存储等信息。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支持设置用户虚拟机实例、容器实例的使用周期，到期自动回收资源并提前自动通知用户。支持到期前手动延长使用周期。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w:t>
            </w:r>
            <w:r>
              <w:rPr>
                <w:rFonts w:hint="eastAsia" w:ascii="宋体" w:hAnsi="宋体" w:cs="宋体"/>
                <w:color w:val="000000"/>
                <w:kern w:val="0"/>
                <w:szCs w:val="21"/>
                <w:lang w:val="en-US" w:eastAsia="zh-CN"/>
              </w:rPr>
              <w:t>虚拟机实例、容器实例</w:t>
            </w:r>
            <w:r>
              <w:rPr>
                <w:rFonts w:hint="eastAsia" w:ascii="宋体" w:hAnsi="宋体" w:cs="宋体"/>
                <w:color w:val="000000"/>
                <w:kern w:val="0"/>
                <w:szCs w:val="21"/>
              </w:rPr>
              <w:t>回收站功能。实例释放后自动进入回收站中，可通过回收站对实例进行恢复或彻底删除。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科研计算平台数据管理要求</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平台提供用户目录，项目目录，共享群组目录等数据管理的功能，在项目组中，用户可以通过共享目录进行数据共享，也可以在项目组中有自己私有的数据目录。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平台提供通过浏览器上传计算配置文件和下载计算结果以及断点续传等功能，支持用户本地挂载平台数据目录，实现用户本地、平台和实例环境的数据同步，支持用户本地是Windows操作系统的数据挂载。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科研计算平台场景功能要求</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平台支持多套环境资源之间灵活调度，不需要重启物理机器，即可实现HPC集群的资源调度到AI集群中进行使用，支持多套HPC集群共存，如</w:t>
            </w:r>
            <w:r>
              <w:rPr>
                <w:rFonts w:hint="eastAsia" w:ascii="宋体" w:hAnsi="宋体" w:cs="宋体"/>
                <w:color w:val="000000"/>
                <w:kern w:val="0"/>
                <w:szCs w:val="21"/>
                <w:lang w:val="en-US" w:eastAsia="zh-CN"/>
              </w:rPr>
              <w:t>已有的</w:t>
            </w:r>
            <w:r>
              <w:rPr>
                <w:rFonts w:hint="eastAsia" w:ascii="宋体" w:hAnsi="宋体" w:cs="宋体"/>
                <w:color w:val="000000"/>
                <w:kern w:val="0"/>
                <w:szCs w:val="21"/>
              </w:rPr>
              <w:t>x86 HPC集群，支持普通用户在平台上创建自己项目组内的私有HPC集群，HPC集群的性能多节点并行Linpack值与物理机的比相差1%以内。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支持以透传的方式实现对物理</w:t>
            </w:r>
            <w:r>
              <w:rPr>
                <w:rFonts w:ascii="宋体" w:hAnsi="宋体" w:cs="Calibri"/>
                <w:color w:val="000000"/>
                <w:kern w:val="0"/>
                <w:szCs w:val="21"/>
              </w:rPr>
              <w:t>GPU</w:t>
            </w:r>
            <w:r>
              <w:rPr>
                <w:rFonts w:hint="eastAsia" w:ascii="宋体" w:hAnsi="宋体" w:cs="宋体"/>
                <w:color w:val="000000"/>
                <w:kern w:val="0"/>
                <w:szCs w:val="21"/>
              </w:rPr>
              <w:t>的访问，并设置可使用的</w:t>
            </w:r>
            <w:r>
              <w:rPr>
                <w:rFonts w:ascii="宋体" w:hAnsi="宋体" w:cs="Calibri"/>
                <w:color w:val="000000"/>
                <w:kern w:val="0"/>
                <w:szCs w:val="21"/>
              </w:rPr>
              <w:t>GPU</w:t>
            </w:r>
            <w:r>
              <w:rPr>
                <w:rFonts w:hint="eastAsia" w:ascii="宋体" w:hAnsi="宋体" w:cs="宋体"/>
                <w:color w:val="000000"/>
                <w:kern w:val="0"/>
                <w:szCs w:val="21"/>
              </w:rPr>
              <w:t>数，在环境内，用户有root权限，可自行安装和配置环境。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支持单机单卡和单机多卡的单容器环境，支持多机多卡容器化分布式</w:t>
            </w:r>
            <w:r>
              <w:rPr>
                <w:rFonts w:ascii="宋体" w:hAnsi="宋体" w:cs="Calibri"/>
                <w:color w:val="000000"/>
                <w:kern w:val="0"/>
                <w:szCs w:val="21"/>
              </w:rPr>
              <w:t>GPU</w:t>
            </w:r>
            <w:r>
              <w:rPr>
                <w:rFonts w:hint="eastAsia" w:ascii="宋体" w:hAnsi="宋体" w:cs="宋体"/>
                <w:color w:val="000000"/>
                <w:kern w:val="0"/>
                <w:szCs w:val="21"/>
              </w:rPr>
              <w:t>训练集群。支持GPU</w:t>
            </w:r>
            <w:r>
              <w:rPr>
                <w:rFonts w:hint="eastAsia" w:ascii="宋体" w:hAnsi="宋体" w:cs="宋体"/>
                <w:color w:val="000000"/>
                <w:kern w:val="0"/>
                <w:szCs w:val="21"/>
                <w:lang w:val="en-US" w:eastAsia="zh-CN"/>
              </w:rPr>
              <w:t>容器虚拟化技术，</w:t>
            </w:r>
            <w:r>
              <w:rPr>
                <w:rFonts w:hint="eastAsia" w:ascii="宋体" w:hAnsi="宋体" w:cs="宋体"/>
                <w:color w:val="000000"/>
                <w:kern w:val="0"/>
                <w:szCs w:val="21"/>
              </w:rPr>
              <w:t>1块</w:t>
            </w:r>
            <w:r>
              <w:rPr>
                <w:rFonts w:hint="eastAsia" w:ascii="宋体" w:hAnsi="宋体" w:cs="宋体"/>
                <w:color w:val="000000"/>
                <w:kern w:val="0"/>
                <w:szCs w:val="21"/>
                <w:lang w:val="en-US" w:eastAsia="zh-CN"/>
              </w:rPr>
              <w:t>物理</w:t>
            </w:r>
            <w:r>
              <w:rPr>
                <w:rFonts w:hint="eastAsia" w:ascii="宋体" w:hAnsi="宋体" w:cs="宋体"/>
                <w:color w:val="000000"/>
                <w:kern w:val="0"/>
                <w:szCs w:val="21"/>
              </w:rPr>
              <w:t>GPU卡</w:t>
            </w:r>
            <w:r>
              <w:rPr>
                <w:rFonts w:hint="eastAsia" w:ascii="宋体" w:hAnsi="宋体" w:cs="宋体"/>
                <w:color w:val="000000"/>
                <w:kern w:val="0"/>
                <w:szCs w:val="21"/>
                <w:lang w:val="en-US" w:eastAsia="zh-CN"/>
              </w:rPr>
              <w:t>可</w:t>
            </w:r>
            <w:r>
              <w:rPr>
                <w:rFonts w:hint="eastAsia" w:ascii="宋体" w:hAnsi="宋体" w:cs="宋体"/>
                <w:color w:val="000000"/>
                <w:kern w:val="0"/>
                <w:szCs w:val="21"/>
              </w:rPr>
              <w:t>同时</w:t>
            </w:r>
            <w:r>
              <w:rPr>
                <w:rFonts w:hint="eastAsia" w:ascii="宋体" w:hAnsi="宋体" w:cs="宋体"/>
                <w:color w:val="000000"/>
                <w:kern w:val="0"/>
                <w:szCs w:val="21"/>
                <w:lang w:val="en-US" w:eastAsia="zh-CN"/>
              </w:rPr>
              <w:t>被</w:t>
            </w:r>
            <w:r>
              <w:rPr>
                <w:rFonts w:hint="eastAsia" w:ascii="宋体" w:hAnsi="宋体" w:cs="宋体"/>
                <w:color w:val="000000"/>
                <w:kern w:val="0"/>
                <w:szCs w:val="21"/>
              </w:rPr>
              <w:t>多个</w:t>
            </w:r>
            <w:r>
              <w:rPr>
                <w:rFonts w:hint="eastAsia" w:ascii="宋体" w:hAnsi="宋体" w:cs="宋体"/>
                <w:color w:val="000000"/>
                <w:kern w:val="0"/>
                <w:szCs w:val="21"/>
                <w:lang w:val="en-US" w:eastAsia="zh-CN"/>
              </w:rPr>
              <w:t>GPU</w:t>
            </w:r>
            <w:r>
              <w:rPr>
                <w:rFonts w:hint="eastAsia" w:ascii="宋体" w:hAnsi="宋体" w:cs="宋体"/>
                <w:color w:val="000000"/>
                <w:kern w:val="0"/>
                <w:szCs w:val="21"/>
              </w:rPr>
              <w:t>容器</w:t>
            </w:r>
            <w:r>
              <w:rPr>
                <w:rFonts w:hint="eastAsia" w:ascii="宋体" w:hAnsi="宋体" w:cs="宋体"/>
                <w:color w:val="000000"/>
                <w:kern w:val="0"/>
                <w:szCs w:val="21"/>
                <w:lang w:val="en-US" w:eastAsia="zh-CN"/>
              </w:rPr>
              <w:t>实例共享计算和显存资源</w:t>
            </w:r>
            <w:r>
              <w:rPr>
                <w:rFonts w:hint="eastAsia" w:ascii="宋体" w:hAnsi="宋体" w:cs="宋体"/>
                <w:color w:val="000000"/>
                <w:kern w:val="0"/>
                <w:szCs w:val="21"/>
              </w:rPr>
              <w:t>，</w:t>
            </w:r>
            <w:r>
              <w:rPr>
                <w:rFonts w:hint="eastAsia" w:ascii="宋体" w:hAnsi="宋体" w:cs="宋体"/>
                <w:color w:val="000000"/>
                <w:kern w:val="0"/>
                <w:szCs w:val="21"/>
                <w:lang w:val="en-US" w:eastAsia="zh-CN"/>
              </w:rPr>
              <w:t>每个容器实例最低的资源共享粒度为1块物理GPU的十分之一</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支持通过网页界面生成和恢复虚拟机快照；支持</w:t>
            </w:r>
            <w:r>
              <w:rPr>
                <w:rFonts w:hint="eastAsia" w:ascii="宋体" w:hAnsi="宋体" w:cs="宋体"/>
                <w:color w:val="000000"/>
                <w:kern w:val="0"/>
                <w:szCs w:val="21"/>
                <w:lang w:val="en-US" w:eastAsia="zh-CN"/>
              </w:rPr>
              <w:t>W</w:t>
            </w:r>
            <w:r>
              <w:rPr>
                <w:rFonts w:ascii="宋体" w:hAnsi="宋体" w:cs="Calibri"/>
                <w:color w:val="000000"/>
                <w:kern w:val="0"/>
                <w:szCs w:val="21"/>
              </w:rPr>
              <w:t>indows</w:t>
            </w:r>
            <w:r>
              <w:rPr>
                <w:rFonts w:hint="eastAsia" w:ascii="宋体" w:hAnsi="宋体" w:cs="宋体"/>
                <w:color w:val="000000"/>
                <w:kern w:val="0"/>
                <w:szCs w:val="21"/>
              </w:rPr>
              <w:t>系统的远程桌面可视化操作，以及对系统实现硬盘扩容等功能。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支持通过软件仓库一键创建完整独立的虚拟化环境，包括完整的</w:t>
            </w:r>
            <w:r>
              <w:rPr>
                <w:rFonts w:hint="eastAsia" w:ascii="宋体" w:hAnsi="宋体" w:cs="宋体"/>
                <w:color w:val="000000"/>
                <w:kern w:val="0"/>
                <w:szCs w:val="21"/>
                <w:lang w:val="en-US" w:eastAsia="zh-CN"/>
              </w:rPr>
              <w:t>L</w:t>
            </w:r>
            <w:r>
              <w:rPr>
                <w:rFonts w:hint="eastAsia" w:ascii="宋体" w:hAnsi="宋体" w:cs="宋体"/>
                <w:color w:val="000000"/>
                <w:kern w:val="0"/>
                <w:szCs w:val="21"/>
              </w:rPr>
              <w:t>inux操作系统环境、Windows桌面环境等。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ascii="宋体" w:hAnsi="宋体" w:cs="宋体"/>
                <w:color w:val="000000"/>
                <w:kern w:val="0"/>
                <w:szCs w:val="21"/>
              </w:rPr>
              <w:t>6</w:t>
            </w:r>
          </w:p>
        </w:tc>
        <w:tc>
          <w:tcPr>
            <w:tcW w:w="1701"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科研计算平台资源统计功能要求</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平台提供集群运行情况监控功能，包含集群数量、集群应用软件类型、正在运行的用户等，支持统计应用镜像的使用数量。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支持分别根据</w:t>
            </w:r>
            <w:r>
              <w:rPr>
                <w:rFonts w:ascii="宋体" w:hAnsi="宋体" w:cs="Calibri"/>
                <w:color w:val="000000"/>
                <w:kern w:val="0"/>
                <w:szCs w:val="21"/>
              </w:rPr>
              <w:t>CPU</w:t>
            </w:r>
            <w:r>
              <w:rPr>
                <w:rFonts w:hint="eastAsia" w:ascii="宋体" w:hAnsi="宋体" w:cs="宋体"/>
                <w:color w:val="000000"/>
                <w:kern w:val="0"/>
                <w:szCs w:val="21"/>
              </w:rPr>
              <w:t>、</w:t>
            </w:r>
            <w:r>
              <w:rPr>
                <w:rFonts w:ascii="宋体" w:hAnsi="宋体" w:cs="Calibri"/>
                <w:color w:val="000000"/>
                <w:kern w:val="0"/>
                <w:szCs w:val="21"/>
              </w:rPr>
              <w:t>GPU</w:t>
            </w:r>
            <w:r>
              <w:rPr>
                <w:rFonts w:hint="eastAsia" w:ascii="宋体" w:hAnsi="宋体" w:cs="宋体"/>
                <w:color w:val="000000"/>
                <w:kern w:val="0"/>
                <w:szCs w:val="21"/>
              </w:rPr>
              <w:t>、内存等资源采用不同的费率标准进行分类计费，支持在系统管理中设置默认权值。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支持不同的节点、不同的资源池设定不同的费用，可以单独配置每一个硬件资源的费用。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continue"/>
            <w:vAlign w:val="center"/>
          </w:tcPr>
          <w:p>
            <w:pPr>
              <w:widowControl/>
              <w:jc w:val="left"/>
              <w:rPr>
                <w:rFonts w:ascii="宋体" w:hAnsi="宋体" w:cs="宋体"/>
                <w:color w:val="000000"/>
                <w:kern w:val="0"/>
                <w:szCs w:val="21"/>
              </w:rPr>
            </w:pPr>
          </w:p>
        </w:tc>
        <w:tc>
          <w:tcPr>
            <w:tcW w:w="1701" w:type="dxa"/>
            <w:vMerge w:val="continue"/>
            <w:vAlign w:val="center"/>
          </w:tcPr>
          <w:p>
            <w:pPr>
              <w:widowControl/>
              <w:jc w:val="left"/>
              <w:rPr>
                <w:rFonts w:ascii="宋体" w:hAnsi="宋体" w:cs="宋体"/>
                <w:color w:val="000000"/>
                <w:kern w:val="0"/>
                <w:szCs w:val="21"/>
              </w:rPr>
            </w:pP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支持用户充值和透支额度设置，支持项目透支额度设置，支持用户转账自己剩余点数到任意一个自己的项目中，在项目中的其他用户可以使用该项目的点数进行扣费，支持对项目中用户使用点数查看和设定限额。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88" w:type="dxa"/>
            <w:shd w:val="clear" w:color="auto" w:fill="auto"/>
            <w:vAlign w:val="center"/>
          </w:tcPr>
          <w:p>
            <w:pPr>
              <w:widowControl/>
              <w:jc w:val="center"/>
              <w:rPr>
                <w:rFonts w:ascii="宋体" w:hAnsi="宋体" w:cs="宋体"/>
                <w:color w:val="000000"/>
                <w:kern w:val="0"/>
                <w:szCs w:val="21"/>
              </w:rPr>
            </w:pPr>
            <w:r>
              <w:rPr>
                <w:rFonts w:ascii="宋体" w:hAnsi="宋体" w:cs="宋体"/>
                <w:color w:val="000000"/>
                <w:kern w:val="0"/>
                <w:szCs w:val="21"/>
              </w:rPr>
              <w:t>7</w:t>
            </w:r>
          </w:p>
        </w:tc>
        <w:tc>
          <w:tcPr>
            <w:tcW w:w="1701"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软件环境</w:t>
            </w:r>
          </w:p>
        </w:tc>
        <w:tc>
          <w:tcPr>
            <w:tcW w:w="6520" w:type="dxa"/>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GNU C/C++/F77/F90编译器、</w:t>
            </w:r>
            <w:r>
              <w:rPr>
                <w:rFonts w:ascii="宋体" w:hAnsi="宋体" w:cs="Calibri"/>
                <w:color w:val="000000"/>
                <w:kern w:val="0"/>
                <w:szCs w:val="21"/>
              </w:rPr>
              <w:t>Java</w:t>
            </w:r>
            <w:r>
              <w:rPr>
                <w:rFonts w:hint="eastAsia" w:ascii="宋体" w:hAnsi="宋体" w:cs="宋体"/>
                <w:color w:val="000000"/>
                <w:kern w:val="0"/>
                <w:szCs w:val="21"/>
              </w:rPr>
              <w:t>、</w:t>
            </w:r>
            <w:r>
              <w:rPr>
                <w:rFonts w:ascii="宋体" w:hAnsi="宋体" w:cs="Calibri"/>
                <w:color w:val="000000"/>
                <w:kern w:val="0"/>
                <w:szCs w:val="21"/>
              </w:rPr>
              <w:t>Intel C/C++/Fortran</w:t>
            </w:r>
            <w:r>
              <w:rPr>
                <w:rFonts w:hint="eastAsia" w:ascii="宋体" w:hAnsi="宋体" w:cs="宋体"/>
                <w:color w:val="000000"/>
                <w:kern w:val="0"/>
                <w:szCs w:val="21"/>
              </w:rPr>
              <w:t>编译器；Intel MKL、BLAS、LAPACK、FFTW等数学库；并行编程消息库如Intel MPI、OpenMPI等；支持容器化数据分析工具，支持Python, Anaconda, R等，并支持用户自定义软件包安装。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988" w:type="dxa"/>
            <w:vMerge w:val="restart"/>
            <w:shd w:val="clear" w:color="auto" w:fill="auto"/>
            <w:vAlign w:val="center"/>
          </w:tcPr>
          <w:p>
            <w:pPr>
              <w:widowControl/>
              <w:jc w:val="center"/>
              <w:rPr>
                <w:rFonts w:ascii="宋体" w:hAnsi="宋体" w:cs="宋体"/>
                <w:color w:val="000000"/>
                <w:kern w:val="0"/>
                <w:szCs w:val="21"/>
              </w:rPr>
            </w:pPr>
            <w:r>
              <w:rPr>
                <w:rFonts w:ascii="宋体" w:hAnsi="宋体" w:cs="宋体"/>
                <w:color w:val="000000"/>
                <w:kern w:val="0"/>
                <w:szCs w:val="21"/>
              </w:rPr>
              <w:t>8</w:t>
            </w:r>
          </w:p>
        </w:tc>
        <w:tc>
          <w:tcPr>
            <w:tcW w:w="1701" w:type="dxa"/>
            <w:vMerge w:val="restart"/>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在线运维</w:t>
            </w:r>
          </w:p>
        </w:tc>
        <w:tc>
          <w:tcPr>
            <w:tcW w:w="6520" w:type="dxa"/>
            <w:shd w:val="clear" w:color="auto" w:fill="auto"/>
            <w:vAlign w:val="top"/>
          </w:tcPr>
          <w:p>
            <w:pPr>
              <w:widowControl/>
              <w:jc w:val="left"/>
              <w:rPr>
                <w:rFonts w:hint="eastAsia" w:ascii="宋体" w:hAnsi="宋体" w:eastAsia="宋体" w:cs="宋体"/>
                <w:color w:val="000000"/>
                <w:kern w:val="0"/>
                <w:sz w:val="21"/>
                <w:szCs w:val="24"/>
                <w:lang w:val="en-US" w:eastAsia="zh-CN" w:bidi="ar-SA"/>
              </w:rPr>
            </w:pPr>
            <w:r>
              <w:rPr>
                <w:rFonts w:hint="eastAsia" w:ascii="宋体" w:hAnsi="宋体" w:eastAsia="宋体" w:cs="华文宋体"/>
                <w:kern w:val="0"/>
                <w:szCs w:val="21"/>
              </w:rPr>
              <w:t>完成对高性能计算集群远程在线监控、异常告警通知等工作。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988" w:type="dxa"/>
            <w:vMerge w:val="continue"/>
            <w:shd w:val="clear" w:color="auto" w:fill="auto"/>
            <w:vAlign w:val="center"/>
          </w:tcPr>
          <w:p>
            <w:pPr>
              <w:widowControl/>
              <w:jc w:val="center"/>
              <w:rPr>
                <w:rFonts w:ascii="宋体" w:hAnsi="宋体" w:cs="宋体"/>
                <w:color w:val="000000"/>
                <w:kern w:val="0"/>
                <w:szCs w:val="21"/>
              </w:rPr>
            </w:pPr>
          </w:p>
        </w:tc>
        <w:tc>
          <w:tcPr>
            <w:tcW w:w="1701" w:type="dxa"/>
            <w:vMerge w:val="continue"/>
            <w:shd w:val="clear" w:color="auto" w:fill="auto"/>
            <w:vAlign w:val="center"/>
          </w:tcPr>
          <w:p>
            <w:pPr>
              <w:widowControl/>
              <w:jc w:val="center"/>
              <w:rPr>
                <w:rFonts w:hint="eastAsia" w:ascii="宋体" w:hAnsi="宋体" w:cs="宋体"/>
                <w:color w:val="000000"/>
                <w:kern w:val="0"/>
                <w:szCs w:val="21"/>
                <w:lang w:val="en-US" w:eastAsia="zh-CN"/>
              </w:rPr>
            </w:pPr>
          </w:p>
        </w:tc>
        <w:tc>
          <w:tcPr>
            <w:tcW w:w="6520" w:type="dxa"/>
            <w:shd w:val="clear" w:color="auto" w:fill="auto"/>
            <w:vAlign w:val="top"/>
          </w:tcPr>
          <w:p>
            <w:pPr>
              <w:widowControl/>
              <w:jc w:val="left"/>
              <w:rPr>
                <w:rFonts w:hint="eastAsia" w:ascii="宋体" w:hAnsi="宋体" w:eastAsia="宋体" w:cs="华文宋体"/>
                <w:kern w:val="0"/>
                <w:sz w:val="21"/>
                <w:szCs w:val="21"/>
                <w:lang w:val="en-US" w:eastAsia="zh-CN" w:bidi="ar-SA"/>
              </w:rPr>
            </w:pPr>
            <w:r>
              <w:rPr>
                <w:rFonts w:hint="eastAsia" w:ascii="宋体" w:hAnsi="宋体" w:eastAsia="宋体" w:cs="华文宋体"/>
                <w:kern w:val="0"/>
                <w:szCs w:val="21"/>
              </w:rPr>
              <w:t>在线运维服务监控采购方高性能集群服务器、网络等相关资源状态信息，如发现异常信息、故障信息，则将此类信息第一时间通知用户方，并采取相关措施。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988" w:type="dxa"/>
            <w:vMerge w:val="continue"/>
            <w:shd w:val="clear" w:color="auto" w:fill="auto"/>
            <w:vAlign w:val="center"/>
          </w:tcPr>
          <w:p>
            <w:pPr>
              <w:widowControl/>
              <w:jc w:val="center"/>
              <w:rPr>
                <w:rFonts w:ascii="宋体" w:hAnsi="宋体" w:cs="宋体"/>
                <w:color w:val="000000"/>
                <w:kern w:val="0"/>
                <w:szCs w:val="21"/>
              </w:rPr>
            </w:pPr>
          </w:p>
        </w:tc>
        <w:tc>
          <w:tcPr>
            <w:tcW w:w="1701" w:type="dxa"/>
            <w:vMerge w:val="continue"/>
            <w:shd w:val="clear" w:color="auto" w:fill="auto"/>
            <w:vAlign w:val="center"/>
          </w:tcPr>
          <w:p>
            <w:pPr>
              <w:widowControl/>
              <w:jc w:val="center"/>
              <w:rPr>
                <w:rFonts w:hint="eastAsia" w:ascii="宋体" w:hAnsi="宋体" w:cs="宋体"/>
                <w:color w:val="000000"/>
                <w:kern w:val="0"/>
                <w:szCs w:val="21"/>
                <w:lang w:val="en-US" w:eastAsia="zh-CN"/>
              </w:rPr>
            </w:pPr>
          </w:p>
        </w:tc>
        <w:tc>
          <w:tcPr>
            <w:tcW w:w="6520" w:type="dxa"/>
            <w:shd w:val="clear" w:color="auto" w:fill="auto"/>
            <w:vAlign w:val="top"/>
          </w:tcPr>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客户提供的商业软件的安装及调度集成</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客户所需开源软件的安装、编译及优化</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应用软件作业模板的定制及优化</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应用软件的容器模板制作</w:t>
            </w:r>
            <w:r>
              <w:rPr>
                <w:rFonts w:hint="eastAsia" w:ascii="宋体" w:hAnsi="宋体" w:eastAsia="宋体" w:cs="华文宋体"/>
                <w:kern w:val="0"/>
                <w:szCs w:val="21"/>
                <w:lang w:eastAsia="zh-CN"/>
              </w:rPr>
              <w:t>；</w:t>
            </w:r>
          </w:p>
          <w:p>
            <w:pPr>
              <w:widowControl/>
              <w:jc w:val="left"/>
              <w:rPr>
                <w:rFonts w:hint="eastAsia" w:ascii="宋体" w:hAnsi="宋体" w:eastAsia="宋体" w:cs="宋体"/>
                <w:color w:val="000000"/>
                <w:kern w:val="0"/>
                <w:sz w:val="21"/>
                <w:szCs w:val="24"/>
                <w:lang w:val="en-US" w:eastAsia="zh-CN" w:bidi="ar-SA"/>
              </w:rPr>
            </w:pPr>
            <w:r>
              <w:rPr>
                <w:rFonts w:hint="eastAsia" w:ascii="宋体" w:hAnsi="宋体" w:eastAsia="宋体" w:cs="华文宋体"/>
                <w:kern w:val="0"/>
                <w:szCs w:val="21"/>
              </w:rPr>
              <w:t>应用软件的虚拟机模板制作</w:t>
            </w:r>
            <w:r>
              <w:rPr>
                <w:rFonts w:hint="eastAsia" w:ascii="宋体" w:hAnsi="宋体" w:eastAsia="宋体" w:cs="华文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trPr>
        <w:tc>
          <w:tcPr>
            <w:tcW w:w="988" w:type="dxa"/>
            <w:vMerge w:val="continue"/>
            <w:shd w:val="clear" w:color="auto" w:fill="auto"/>
            <w:vAlign w:val="center"/>
          </w:tcPr>
          <w:p>
            <w:pPr>
              <w:widowControl/>
              <w:jc w:val="center"/>
              <w:rPr>
                <w:rFonts w:ascii="宋体" w:hAnsi="宋体" w:cs="宋体"/>
                <w:color w:val="000000"/>
                <w:kern w:val="0"/>
                <w:szCs w:val="21"/>
              </w:rPr>
            </w:pPr>
          </w:p>
        </w:tc>
        <w:tc>
          <w:tcPr>
            <w:tcW w:w="1701" w:type="dxa"/>
            <w:vMerge w:val="continue"/>
            <w:shd w:val="clear" w:color="auto" w:fill="auto"/>
            <w:vAlign w:val="center"/>
          </w:tcPr>
          <w:p>
            <w:pPr>
              <w:widowControl/>
              <w:jc w:val="center"/>
              <w:rPr>
                <w:rFonts w:hint="eastAsia" w:ascii="宋体" w:hAnsi="宋体" w:cs="宋体"/>
                <w:color w:val="000000"/>
                <w:kern w:val="0"/>
                <w:szCs w:val="21"/>
                <w:lang w:val="en-US" w:eastAsia="zh-CN"/>
              </w:rPr>
            </w:pPr>
          </w:p>
        </w:tc>
        <w:tc>
          <w:tcPr>
            <w:tcW w:w="6520" w:type="dxa"/>
            <w:shd w:val="clear" w:color="auto" w:fill="auto"/>
            <w:vAlign w:val="top"/>
          </w:tcPr>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平台应用商店内软件的升级和更新</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系统GPU驱动/CUDA版本的持续更新和升级</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平台内部组件的持续升级</w:t>
            </w:r>
            <w:r>
              <w:rPr>
                <w:rFonts w:hint="eastAsia" w:ascii="宋体" w:hAnsi="宋体" w:eastAsia="宋体" w:cs="华文宋体"/>
                <w:kern w:val="0"/>
                <w:szCs w:val="21"/>
                <w:lang w:eastAsia="zh-CN"/>
              </w:rPr>
              <w:t>；</w:t>
            </w:r>
          </w:p>
          <w:p>
            <w:pPr>
              <w:widowControl/>
              <w:jc w:val="left"/>
              <w:rPr>
                <w:rFonts w:hint="eastAsia" w:ascii="宋体" w:hAnsi="宋体" w:eastAsia="宋体" w:cs="宋体"/>
                <w:color w:val="000000"/>
                <w:kern w:val="0"/>
                <w:sz w:val="21"/>
                <w:szCs w:val="24"/>
                <w:lang w:val="en-US" w:eastAsia="zh-CN" w:bidi="ar-SA"/>
              </w:rPr>
            </w:pPr>
            <w:r>
              <w:rPr>
                <w:rFonts w:hint="eastAsia" w:ascii="宋体" w:hAnsi="宋体" w:eastAsia="宋体" w:cs="华文宋体"/>
                <w:kern w:val="0"/>
                <w:szCs w:val="21"/>
              </w:rPr>
              <w:t>平台新版本功能更新的持续安装</w:t>
            </w:r>
            <w:r>
              <w:rPr>
                <w:rFonts w:hint="eastAsia" w:ascii="宋体" w:hAnsi="宋体" w:eastAsia="宋体" w:cs="华文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988" w:type="dxa"/>
            <w:vMerge w:val="continue"/>
            <w:shd w:val="clear" w:color="auto" w:fill="auto"/>
            <w:vAlign w:val="center"/>
          </w:tcPr>
          <w:p>
            <w:pPr>
              <w:widowControl/>
              <w:jc w:val="center"/>
              <w:rPr>
                <w:rFonts w:ascii="宋体" w:hAnsi="宋体" w:cs="宋体"/>
                <w:color w:val="000000"/>
                <w:kern w:val="0"/>
                <w:szCs w:val="21"/>
              </w:rPr>
            </w:pPr>
          </w:p>
        </w:tc>
        <w:tc>
          <w:tcPr>
            <w:tcW w:w="1701" w:type="dxa"/>
            <w:vMerge w:val="continue"/>
            <w:shd w:val="clear" w:color="auto" w:fill="auto"/>
            <w:vAlign w:val="center"/>
          </w:tcPr>
          <w:p>
            <w:pPr>
              <w:widowControl/>
              <w:jc w:val="center"/>
              <w:rPr>
                <w:rFonts w:hint="eastAsia" w:ascii="宋体" w:hAnsi="宋体" w:cs="宋体"/>
                <w:color w:val="000000"/>
                <w:kern w:val="0"/>
                <w:szCs w:val="21"/>
                <w:lang w:val="en-US" w:eastAsia="zh-CN"/>
              </w:rPr>
            </w:pPr>
          </w:p>
        </w:tc>
        <w:tc>
          <w:tcPr>
            <w:tcW w:w="6520" w:type="dxa"/>
            <w:shd w:val="clear" w:color="auto" w:fill="auto"/>
            <w:vAlign w:val="top"/>
          </w:tcPr>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平台硬件环境的运维监控</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系统报警、平台故障的实施处理</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平台资源使用情况的监控及使用报告</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调度策略的持续优化和调整</w:t>
            </w:r>
            <w:r>
              <w:rPr>
                <w:rFonts w:hint="eastAsia" w:ascii="宋体" w:hAnsi="宋体" w:eastAsia="宋体" w:cs="华文宋体"/>
                <w:kern w:val="0"/>
                <w:szCs w:val="21"/>
                <w:lang w:eastAsia="zh-CN"/>
              </w:rPr>
              <w:t>；</w:t>
            </w:r>
          </w:p>
          <w:p>
            <w:pPr>
              <w:widowControl/>
              <w:jc w:val="left"/>
              <w:rPr>
                <w:rFonts w:hint="eastAsia" w:ascii="宋体" w:hAnsi="宋体" w:eastAsia="宋体" w:cs="华文宋体"/>
                <w:kern w:val="0"/>
                <w:szCs w:val="21"/>
                <w:lang w:eastAsia="zh-CN"/>
              </w:rPr>
            </w:pPr>
            <w:r>
              <w:rPr>
                <w:rFonts w:hint="eastAsia" w:ascii="宋体" w:hAnsi="宋体" w:eastAsia="宋体" w:cs="华文宋体"/>
                <w:kern w:val="0"/>
                <w:szCs w:val="21"/>
              </w:rPr>
              <w:t>用户配额和QOS的持续优化</w:t>
            </w:r>
            <w:r>
              <w:rPr>
                <w:rFonts w:hint="eastAsia" w:ascii="宋体" w:hAnsi="宋体" w:eastAsia="宋体" w:cs="华文宋体"/>
                <w:kern w:val="0"/>
                <w:szCs w:val="21"/>
                <w:lang w:eastAsia="zh-CN"/>
              </w:rPr>
              <w:t>；</w:t>
            </w:r>
          </w:p>
          <w:p>
            <w:pPr>
              <w:widowControl/>
              <w:jc w:val="left"/>
              <w:rPr>
                <w:rFonts w:hint="eastAsia" w:ascii="宋体" w:hAnsi="宋体" w:eastAsia="宋体" w:cs="宋体"/>
                <w:color w:val="000000"/>
                <w:kern w:val="0"/>
                <w:sz w:val="21"/>
                <w:szCs w:val="24"/>
                <w:lang w:val="en-US" w:eastAsia="zh-CN" w:bidi="ar-SA"/>
              </w:rPr>
            </w:pPr>
            <w:r>
              <w:rPr>
                <w:rFonts w:hint="eastAsia" w:ascii="宋体" w:hAnsi="宋体" w:eastAsia="宋体" w:cs="华文宋体"/>
                <w:kern w:val="0"/>
                <w:szCs w:val="21"/>
              </w:rPr>
              <w:t>用户微信群进行实时问题解答和使用帮助</w:t>
            </w:r>
            <w:r>
              <w:rPr>
                <w:rFonts w:hint="eastAsia" w:ascii="宋体" w:hAnsi="宋体" w:eastAsia="宋体" w:cs="华文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88"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9</w:t>
            </w:r>
          </w:p>
        </w:tc>
        <w:tc>
          <w:tcPr>
            <w:tcW w:w="1701" w:type="dxa"/>
            <w:vMerge w:val="restart"/>
            <w:vAlign w:val="center"/>
          </w:tcPr>
          <w:p>
            <w:pPr>
              <w:widowControl/>
              <w:jc w:val="center"/>
              <w:rPr>
                <w:rFonts w:ascii="宋体" w:hAnsi="宋体" w:cs="宋体"/>
                <w:color w:val="000000"/>
                <w:kern w:val="0"/>
                <w:szCs w:val="21"/>
              </w:rPr>
            </w:pPr>
            <w:r>
              <w:rPr>
                <w:rFonts w:ascii="宋体" w:hAnsi="宋体" w:cs="宋体"/>
                <w:color w:val="000000"/>
                <w:kern w:val="0"/>
                <w:szCs w:val="21"/>
              </w:rPr>
              <w:t>售后服务</w:t>
            </w:r>
          </w:p>
        </w:tc>
        <w:tc>
          <w:tcPr>
            <w:tcW w:w="6520" w:type="dxa"/>
            <w:shd w:val="clear" w:color="auto" w:fill="auto"/>
          </w:tcPr>
          <w:p>
            <w:pPr>
              <w:widowControl/>
              <w:jc w:val="left"/>
              <w:rPr>
                <w:rFonts w:hint="eastAsia" w:ascii="宋体" w:hAnsi="宋体" w:cs="华文宋体" w:eastAsiaTheme="minorEastAsia"/>
                <w:kern w:val="0"/>
                <w:szCs w:val="21"/>
                <w:lang w:eastAsia="zh-CN"/>
              </w:rPr>
            </w:pPr>
            <w:r>
              <w:rPr>
                <w:rFonts w:hint="eastAsia" w:ascii="宋体" w:hAnsi="宋体" w:cs="华文宋体"/>
                <w:kern w:val="0"/>
                <w:szCs w:val="21"/>
              </w:rPr>
              <w:t>提供3年7*24小时原厂运维服务，10分钟响应，</w:t>
            </w:r>
            <w:r>
              <w:rPr>
                <w:rFonts w:hint="eastAsia" w:ascii="宋体" w:hAnsi="宋体" w:cs="华文宋体"/>
                <w:kern w:val="0"/>
                <w:szCs w:val="21"/>
                <w:lang w:val="en-US" w:eastAsia="zh-CN"/>
              </w:rPr>
              <w:t>4</w:t>
            </w:r>
            <w:r>
              <w:rPr>
                <w:rFonts w:hint="eastAsia" w:ascii="宋体" w:hAnsi="宋体" w:cs="华文宋体"/>
                <w:kern w:val="0"/>
                <w:szCs w:val="21"/>
              </w:rPr>
              <w:t>小时内处理完</w:t>
            </w:r>
            <w:r>
              <w:rPr>
                <w:rFonts w:hint="eastAsia" w:ascii="宋体" w:hAnsi="宋体" w:cs="华文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988" w:type="dxa"/>
            <w:vMerge w:val="continue"/>
            <w:vAlign w:val="center"/>
          </w:tcPr>
          <w:p>
            <w:pPr>
              <w:widowControl/>
              <w:jc w:val="center"/>
              <w:rPr>
                <w:rFonts w:hint="eastAsia" w:ascii="宋体" w:hAnsi="宋体" w:cs="宋体"/>
                <w:color w:val="000000"/>
                <w:kern w:val="0"/>
                <w:szCs w:val="21"/>
                <w:lang w:val="en-US" w:eastAsia="zh-CN"/>
              </w:rPr>
            </w:pPr>
          </w:p>
        </w:tc>
        <w:tc>
          <w:tcPr>
            <w:tcW w:w="1701" w:type="dxa"/>
            <w:vMerge w:val="continue"/>
            <w:vAlign w:val="center"/>
          </w:tcPr>
          <w:p>
            <w:pPr>
              <w:widowControl/>
              <w:jc w:val="center"/>
              <w:rPr>
                <w:rFonts w:ascii="宋体" w:hAnsi="宋体" w:cs="宋体"/>
                <w:color w:val="000000"/>
                <w:kern w:val="0"/>
                <w:szCs w:val="21"/>
              </w:rPr>
            </w:pPr>
          </w:p>
        </w:tc>
        <w:tc>
          <w:tcPr>
            <w:tcW w:w="6520" w:type="dxa"/>
            <w:shd w:val="clear" w:color="auto" w:fill="auto"/>
          </w:tcPr>
          <w:p>
            <w:pPr>
              <w:widowControl/>
              <w:jc w:val="left"/>
              <w:rPr>
                <w:rFonts w:hint="eastAsia" w:ascii="宋体" w:hAnsi="宋体" w:cs="华文宋体"/>
                <w:kern w:val="0"/>
                <w:szCs w:val="21"/>
              </w:rPr>
            </w:pPr>
            <w:r>
              <w:rPr>
                <w:rFonts w:hint="eastAsia" w:ascii="宋体" w:hAnsi="宋体" w:cs="华文宋体"/>
                <w:kern w:val="0"/>
                <w:szCs w:val="21"/>
              </w:rPr>
              <w:t>原厂提供软件部署实施服务。</w:t>
            </w:r>
          </w:p>
        </w:tc>
      </w:tr>
    </w:tbl>
    <w:p>
      <w:pPr>
        <w:rPr>
          <w:rFonts w:hint="eastAsia" w:eastAsia="宋体"/>
          <w:lang w:val="en-US" w:eastAsia="zh-CN"/>
        </w:rPr>
      </w:pPr>
    </w:p>
    <w:p>
      <w:pPr>
        <w:pStyle w:val="71"/>
        <w:numPr>
          <w:ilvl w:val="0"/>
          <w:numId w:val="0"/>
        </w:numPr>
        <w:spacing w:before="156" w:after="156"/>
        <w:rPr>
          <w:rFonts w:hint="eastAsia"/>
        </w:rPr>
      </w:pPr>
      <w:r>
        <w:rPr>
          <w:rFonts w:hint="eastAsia"/>
          <w:lang w:val="en-US" w:eastAsia="zh-CN"/>
        </w:rPr>
        <w:t>3.5、</w:t>
      </w:r>
      <w:r>
        <w:rPr>
          <w:rFonts w:hint="eastAsia"/>
        </w:rPr>
        <w:t>搬迁服务</w:t>
      </w:r>
    </w:p>
    <w:tbl>
      <w:tblPr>
        <w:tblStyle w:val="22"/>
        <w:tblW w:w="9210" w:type="dxa"/>
        <w:tblInd w:w="96" w:type="dxa"/>
        <w:tblLayout w:type="autofit"/>
        <w:tblCellMar>
          <w:top w:w="0" w:type="dxa"/>
          <w:left w:w="108" w:type="dxa"/>
          <w:bottom w:w="0" w:type="dxa"/>
          <w:right w:w="108" w:type="dxa"/>
        </w:tblCellMar>
      </w:tblPr>
      <w:tblGrid>
        <w:gridCol w:w="960"/>
        <w:gridCol w:w="1630"/>
        <w:gridCol w:w="6620"/>
      </w:tblGrid>
      <w:tr>
        <w:tblPrEx>
          <w:tblCellMar>
            <w:top w:w="0" w:type="dxa"/>
            <w:left w:w="108" w:type="dxa"/>
            <w:bottom w:w="0" w:type="dxa"/>
            <w:right w:w="108" w:type="dxa"/>
          </w:tblCellMar>
        </w:tblPrEx>
        <w:trPr>
          <w:cantSplit/>
          <w:trHeight w:val="499" w:hRule="atLeast"/>
          <w:tblHeader/>
        </w:trPr>
        <w:tc>
          <w:tcPr>
            <w:tcW w:w="96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序号</w:t>
            </w:r>
          </w:p>
        </w:tc>
        <w:tc>
          <w:tcPr>
            <w:tcW w:w="163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指标项</w:t>
            </w:r>
          </w:p>
        </w:tc>
        <w:tc>
          <w:tcPr>
            <w:tcW w:w="6620"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bCs/>
              </w:rPr>
            </w:pPr>
            <w:r>
              <w:rPr>
                <w:rFonts w:hint="eastAsia" w:ascii="宋体" w:hAnsi="宋体"/>
                <w:bCs/>
              </w:rPr>
              <w:t>技术规格要求</w:t>
            </w:r>
          </w:p>
        </w:tc>
      </w:tr>
      <w:tr>
        <w:trPr>
          <w:cantSplit/>
          <w:trHeight w:val="2120" w:hRule="atLeast"/>
        </w:trPr>
        <w:tc>
          <w:tcPr>
            <w:tcW w:w="960" w:type="dxa"/>
            <w:vMerge w:val="restart"/>
            <w:tcBorders>
              <w:top w:val="single" w:color="000000" w:sz="4" w:space="0"/>
              <w:left w:val="single" w:color="000000" w:sz="4" w:space="0"/>
              <w:right w:val="single" w:color="000000" w:sz="4" w:space="0"/>
            </w:tcBorders>
            <w:vAlign w:val="center"/>
          </w:tcPr>
          <w:p>
            <w:pPr>
              <w:jc w:val="center"/>
              <w:rPr>
                <w:rFonts w:ascii="宋体" w:hAnsi="宋体"/>
                <w:bCs/>
              </w:rPr>
            </w:pPr>
            <w:r>
              <w:rPr>
                <w:rFonts w:hint="eastAsia" w:ascii="宋体" w:hAnsi="宋体"/>
                <w:bCs/>
              </w:rPr>
              <w:t>1</w:t>
            </w:r>
          </w:p>
        </w:tc>
        <w:tc>
          <w:tcPr>
            <w:tcW w:w="1630" w:type="dxa"/>
            <w:vMerge w:val="restart"/>
            <w:tcBorders>
              <w:top w:val="single" w:color="000000" w:sz="4" w:space="0"/>
              <w:left w:val="single" w:color="000000" w:sz="4" w:space="0"/>
              <w:right w:val="single" w:color="000000" w:sz="4" w:space="0"/>
            </w:tcBorders>
            <w:vAlign w:val="center"/>
          </w:tcPr>
          <w:p>
            <w:pPr>
              <w:rPr>
                <w:rFonts w:ascii="宋体" w:hAnsi="宋体"/>
                <w:bCs/>
              </w:rPr>
            </w:pPr>
            <w:r>
              <w:rPr>
                <w:rFonts w:hint="eastAsia" w:ascii="宋体" w:hAnsi="宋体"/>
                <w:bCs/>
              </w:rPr>
              <w:t>服务要求</w:t>
            </w:r>
          </w:p>
        </w:tc>
        <w:tc>
          <w:tcPr>
            <w:tcW w:w="6620" w:type="dxa"/>
            <w:tcBorders>
              <w:top w:val="single" w:color="000000" w:sz="4" w:space="0"/>
              <w:left w:val="single" w:color="000000" w:sz="4" w:space="0"/>
              <w:bottom w:val="single" w:color="auto" w:sz="4" w:space="0"/>
              <w:right w:val="single" w:color="000000" w:sz="4" w:space="0"/>
            </w:tcBorders>
            <w:vAlign w:val="center"/>
          </w:tcPr>
          <w:p>
            <w:pPr>
              <w:rPr>
                <w:rFonts w:hint="eastAsia" w:ascii="宋体" w:hAnsi="宋体" w:eastAsia="宋体"/>
                <w:bCs/>
                <w:lang w:val="en-US" w:eastAsia="zh-CN"/>
              </w:rPr>
            </w:pPr>
            <w:r>
              <w:rPr>
                <w:rFonts w:hint="eastAsia" w:ascii="宋体" w:hAnsi="宋体"/>
                <w:bCs/>
              </w:rPr>
              <w:t>原机房</w:t>
            </w:r>
            <w:r>
              <w:rPr>
                <w:rFonts w:hint="eastAsia" w:ascii="宋体" w:hAnsi="宋体"/>
                <w:bCs/>
                <w:lang w:eastAsia="zh-CN"/>
              </w:rPr>
              <w:t>（</w:t>
            </w:r>
            <w:r>
              <w:rPr>
                <w:rFonts w:hint="eastAsia" w:ascii="宋体" w:hAnsi="宋体"/>
                <w:bCs/>
              </w:rPr>
              <w:t>广东省广州市越秀区中山一路东山口职工住宅小区内AI实验室</w:t>
            </w:r>
            <w:r>
              <w:rPr>
                <w:rFonts w:hint="eastAsia" w:ascii="宋体" w:hAnsi="宋体"/>
                <w:bCs/>
                <w:lang w:eastAsia="zh-CN"/>
              </w:rPr>
              <w:t>）</w:t>
            </w:r>
            <w:r>
              <w:rPr>
                <w:rFonts w:hint="eastAsia" w:ascii="宋体" w:hAnsi="宋体"/>
                <w:bCs/>
              </w:rPr>
              <w:t>需搬迁</w:t>
            </w:r>
            <w:r>
              <w:rPr>
                <w:rFonts w:hint="eastAsia" w:ascii="宋体" w:hAnsi="宋体"/>
                <w:bCs/>
                <w:lang w:val="en-US" w:eastAsia="zh-CN"/>
              </w:rPr>
              <w:t>11台</w:t>
            </w:r>
            <w:r>
              <w:rPr>
                <w:rFonts w:hint="eastAsia" w:ascii="宋体" w:hAnsi="宋体"/>
                <w:bCs/>
              </w:rPr>
              <w:t>4U</w:t>
            </w:r>
            <w:r>
              <w:rPr>
                <w:rFonts w:hint="eastAsia" w:ascii="宋体" w:hAnsi="宋体"/>
                <w:bCs/>
                <w:lang w:val="en-US" w:eastAsia="zh-CN"/>
              </w:rPr>
              <w:t>机架式服务器、3台4U塔式服务器、1台1U IB交换机、1台1U千兆交换机、1台1U万兆交换机、若干配套的服务器电源线和网络线缆等至新机房（</w:t>
            </w:r>
            <w:r>
              <w:rPr>
                <w:rFonts w:hint="eastAsia" w:ascii="宋体" w:hAnsi="宋体"/>
                <w:bCs/>
              </w:rPr>
              <w:t>广东省广州市越秀区中山二路106号广东省人民医院伟伦楼2楼数据中心</w:t>
            </w:r>
            <w:r>
              <w:rPr>
                <w:rFonts w:hint="eastAsia" w:ascii="宋体" w:hAnsi="宋体"/>
                <w:bCs/>
                <w:lang w:eastAsia="zh-CN"/>
              </w:rPr>
              <w:t>）。</w:t>
            </w:r>
            <w:r>
              <w:rPr>
                <w:rFonts w:hint="eastAsia" w:ascii="宋体" w:hAnsi="宋体"/>
                <w:bCs/>
              </w:rPr>
              <w:t>搬迁实施工作</w:t>
            </w:r>
            <w:r>
              <w:rPr>
                <w:rFonts w:hint="eastAsia" w:ascii="宋体" w:hAnsi="宋体"/>
                <w:bCs/>
                <w:lang w:val="en-US" w:eastAsia="zh-CN"/>
              </w:rPr>
              <w:t>中，</w:t>
            </w:r>
            <w:r>
              <w:rPr>
                <w:rFonts w:hint="eastAsia" w:ascii="宋体" w:hAnsi="宋体"/>
                <w:bCs/>
              </w:rPr>
              <w:t>由</w:t>
            </w:r>
            <w:r>
              <w:rPr>
                <w:rFonts w:hint="eastAsia"/>
                <w:color w:val="000000"/>
                <w:lang w:val="en-US" w:eastAsia="zh-CN"/>
              </w:rPr>
              <w:t>承建商</w:t>
            </w:r>
            <w:r>
              <w:rPr>
                <w:rFonts w:hint="eastAsia" w:ascii="宋体" w:hAnsi="宋体"/>
                <w:bCs/>
              </w:rPr>
              <w:t>提供</w:t>
            </w:r>
            <w:r>
              <w:rPr>
                <w:rFonts w:hint="eastAsia" w:ascii="宋体" w:hAnsi="宋体"/>
                <w:bCs/>
                <w:lang w:val="en-US" w:eastAsia="zh-CN"/>
              </w:rPr>
              <w:t>服务器电源线、</w:t>
            </w:r>
            <w:r>
              <w:rPr>
                <w:rFonts w:hint="eastAsia" w:ascii="宋体" w:hAnsi="宋体"/>
                <w:bCs/>
              </w:rPr>
              <w:t>网络线缆、PDU、排插等</w:t>
            </w:r>
            <w:r>
              <w:rPr>
                <w:rFonts w:hint="eastAsia" w:ascii="宋体" w:hAnsi="宋体"/>
                <w:bCs/>
                <w:lang w:val="en-US" w:eastAsia="zh-CN"/>
              </w:rPr>
              <w:t>服务器部署配件</w:t>
            </w:r>
            <w:r>
              <w:rPr>
                <w:rFonts w:hint="eastAsia" w:ascii="宋体" w:hAnsi="宋体"/>
                <w:bCs/>
                <w:lang w:eastAsia="zh-CN"/>
              </w:rPr>
              <w:t>。</w:t>
            </w:r>
          </w:p>
        </w:tc>
      </w:tr>
      <w:tr>
        <w:tblPrEx>
          <w:tblCellMar>
            <w:top w:w="0" w:type="dxa"/>
            <w:left w:w="108" w:type="dxa"/>
            <w:bottom w:w="0" w:type="dxa"/>
            <w:right w:w="108" w:type="dxa"/>
          </w:tblCellMar>
        </w:tblPrEx>
        <w:trPr>
          <w:cantSplit/>
          <w:trHeight w:val="993" w:hRule="atLeast"/>
        </w:trPr>
        <w:tc>
          <w:tcPr>
            <w:tcW w:w="960" w:type="dxa"/>
            <w:vMerge w:val="continue"/>
            <w:tcBorders>
              <w:left w:val="single" w:color="000000" w:sz="4" w:space="0"/>
              <w:right w:val="single" w:color="000000" w:sz="4" w:space="0"/>
            </w:tcBorders>
            <w:vAlign w:val="center"/>
          </w:tcPr>
          <w:p>
            <w:pPr>
              <w:jc w:val="center"/>
              <w:rPr>
                <w:rFonts w:hint="eastAsia" w:ascii="宋体" w:hAnsi="宋体"/>
                <w:bCs/>
              </w:rPr>
            </w:pPr>
          </w:p>
        </w:tc>
        <w:tc>
          <w:tcPr>
            <w:tcW w:w="1630" w:type="dxa"/>
            <w:vMerge w:val="continue"/>
            <w:tcBorders>
              <w:left w:val="single" w:color="000000" w:sz="4" w:space="0"/>
              <w:right w:val="single" w:color="000000" w:sz="4" w:space="0"/>
            </w:tcBorders>
            <w:vAlign w:val="center"/>
          </w:tcPr>
          <w:p>
            <w:pPr>
              <w:rPr>
                <w:rFonts w:hint="eastAsia" w:ascii="宋体" w:hAnsi="宋体"/>
                <w:bCs/>
              </w:rPr>
            </w:pPr>
          </w:p>
        </w:tc>
        <w:tc>
          <w:tcPr>
            <w:tcW w:w="6620" w:type="dxa"/>
            <w:tcBorders>
              <w:top w:val="single" w:color="auto" w:sz="4" w:space="0"/>
              <w:left w:val="single" w:color="000000" w:sz="4" w:space="0"/>
              <w:bottom w:val="single" w:color="auto" w:sz="4" w:space="0"/>
              <w:right w:val="single" w:color="000000" w:sz="4" w:space="0"/>
            </w:tcBorders>
            <w:vAlign w:val="center"/>
          </w:tcPr>
          <w:p>
            <w:pPr>
              <w:rPr>
                <w:rFonts w:hint="eastAsia" w:ascii="宋体" w:hAnsi="宋体" w:eastAsia="宋体"/>
                <w:bCs/>
                <w:lang w:val="en-US" w:eastAsia="zh-CN"/>
              </w:rPr>
            </w:pPr>
            <w:r>
              <w:rPr>
                <w:rFonts w:hint="eastAsia" w:ascii="宋体" w:hAnsi="宋体"/>
                <w:bCs/>
              </w:rPr>
              <w:t>对数据中心进行基础规划与</w:t>
            </w:r>
            <w:r>
              <w:rPr>
                <w:rFonts w:hint="eastAsia" w:ascii="宋体" w:hAnsi="宋体"/>
                <w:bCs/>
                <w:lang w:val="en-US" w:eastAsia="zh-CN"/>
              </w:rPr>
              <w:t>网络规划，原机房服务器、交换机、本项目3台GPU服务器、2台管理服务器接入至数据中心的UPS，服务器通电通网正常运行，所有服务器的网络互通，部署</w:t>
            </w:r>
            <w:r>
              <w:rPr>
                <w:rFonts w:hint="eastAsia"/>
              </w:rPr>
              <w:t>高性能计算管理平台</w:t>
            </w:r>
            <w:r>
              <w:rPr>
                <w:rFonts w:hint="eastAsia" w:ascii="宋体" w:hAnsi="宋体"/>
                <w:bCs/>
                <w:lang w:val="en-US" w:eastAsia="zh-CN"/>
              </w:rPr>
              <w:t>，实现新数据中心的服务器管理</w:t>
            </w:r>
            <w:r>
              <w:rPr>
                <w:rFonts w:hint="eastAsia" w:ascii="宋体" w:hAnsi="宋体"/>
                <w:bCs/>
                <w:lang w:eastAsia="zh-CN"/>
              </w:rPr>
              <w:t>。</w:t>
            </w:r>
          </w:p>
        </w:tc>
      </w:tr>
      <w:tr>
        <w:tblPrEx>
          <w:tblCellMar>
            <w:top w:w="0" w:type="dxa"/>
            <w:left w:w="108" w:type="dxa"/>
            <w:bottom w:w="0" w:type="dxa"/>
            <w:right w:w="108" w:type="dxa"/>
          </w:tblCellMar>
        </w:tblPrEx>
        <w:trPr>
          <w:cantSplit/>
          <w:trHeight w:val="864" w:hRule="atLeast"/>
        </w:trPr>
        <w:tc>
          <w:tcPr>
            <w:tcW w:w="960"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bCs/>
              </w:rPr>
            </w:pPr>
          </w:p>
        </w:tc>
        <w:tc>
          <w:tcPr>
            <w:tcW w:w="1630" w:type="dxa"/>
            <w:vMerge w:val="continue"/>
            <w:tcBorders>
              <w:left w:val="single" w:color="000000" w:sz="4" w:space="0"/>
              <w:bottom w:val="single" w:color="000000" w:sz="4" w:space="0"/>
              <w:right w:val="single" w:color="000000" w:sz="4" w:space="0"/>
            </w:tcBorders>
            <w:vAlign w:val="center"/>
          </w:tcPr>
          <w:p>
            <w:pPr>
              <w:rPr>
                <w:rFonts w:hint="eastAsia" w:ascii="宋体" w:hAnsi="宋体"/>
                <w:bCs/>
              </w:rPr>
            </w:pPr>
          </w:p>
        </w:tc>
        <w:tc>
          <w:tcPr>
            <w:tcW w:w="6620"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bCs/>
                <w:lang w:val="en-US" w:eastAsia="zh-CN"/>
              </w:rPr>
            </w:pPr>
            <w:r>
              <w:rPr>
                <w:rFonts w:hint="eastAsia" w:ascii="宋体" w:hAnsi="宋体"/>
                <w:bCs/>
              </w:rPr>
              <w:t>在搬迁全过程，</w:t>
            </w:r>
            <w:r>
              <w:rPr>
                <w:rFonts w:hint="eastAsia"/>
                <w:color w:val="000000"/>
                <w:lang w:val="en-US" w:eastAsia="zh-CN"/>
              </w:rPr>
              <w:t>承建商</w:t>
            </w:r>
            <w:r>
              <w:rPr>
                <w:rFonts w:hint="eastAsia" w:ascii="宋体" w:hAnsi="宋体"/>
                <w:bCs/>
                <w:lang w:val="en-US" w:eastAsia="zh-CN"/>
              </w:rPr>
              <w:t>需与</w:t>
            </w:r>
            <w:r>
              <w:rPr>
                <w:rFonts w:hint="eastAsia"/>
                <w:color w:val="000000"/>
              </w:rPr>
              <w:t>院方</w:t>
            </w:r>
            <w:r>
              <w:rPr>
                <w:rFonts w:hint="eastAsia" w:ascii="宋体" w:hAnsi="宋体"/>
                <w:bCs/>
              </w:rPr>
              <w:t>进行</w:t>
            </w:r>
            <w:r>
              <w:rPr>
                <w:rFonts w:hint="eastAsia" w:ascii="宋体" w:hAnsi="宋体"/>
                <w:bCs/>
                <w:lang w:val="en-US" w:eastAsia="zh-CN"/>
              </w:rPr>
              <w:t>搬迁范围、</w:t>
            </w:r>
            <w:r>
              <w:rPr>
                <w:rFonts w:hint="eastAsia" w:ascii="宋体" w:hAnsi="宋体"/>
                <w:bCs/>
              </w:rPr>
              <w:t>进度、质量、风险等沟通管理</w:t>
            </w:r>
            <w:r>
              <w:rPr>
                <w:rFonts w:hint="eastAsia" w:ascii="宋体" w:hAnsi="宋体"/>
                <w:bCs/>
                <w:lang w:val="en-US" w:eastAsia="zh-CN"/>
              </w:rPr>
              <w:t>工作</w:t>
            </w:r>
            <w:r>
              <w:rPr>
                <w:rFonts w:ascii="宋体" w:hAnsi="宋体"/>
                <w:bCs/>
              </w:rPr>
              <w:t>。</w:t>
            </w:r>
          </w:p>
        </w:tc>
      </w:tr>
    </w:tbl>
    <w:p>
      <w:pPr>
        <w:tabs>
          <w:tab w:val="left" w:pos="780"/>
        </w:tabs>
        <w:spacing w:before="156" w:beforeLines="50" w:line="360" w:lineRule="auto"/>
        <w:outlineLvl w:val="0"/>
        <w:rPr>
          <w:rFonts w:ascii="宋体" w:hAnsi="宋体" w:cs="宋体"/>
          <w:szCs w:val="21"/>
        </w:rPr>
      </w:pPr>
    </w:p>
    <w:p>
      <w:pPr>
        <w:pStyle w:val="21"/>
        <w:jc w:val="left"/>
        <w:rPr>
          <w:rFonts w:hint="eastAsia" w:eastAsia="宋体"/>
          <w:lang w:val="en-US" w:eastAsia="zh-CN"/>
        </w:rPr>
      </w:pPr>
      <w:r>
        <w:rPr>
          <w:rFonts w:hint="eastAsia"/>
        </w:rPr>
        <w:t>四、服务要求</w:t>
      </w:r>
    </w:p>
    <w:p>
      <w:pPr>
        <w:spacing w:line="360" w:lineRule="auto"/>
        <w:ind w:firstLine="420"/>
      </w:pPr>
      <w:r>
        <w:rPr>
          <w:rFonts w:hint="eastAsia"/>
          <w:color w:val="000000"/>
        </w:rPr>
        <w:t>(一)从合同标的验收合格之日算起，期限为</w:t>
      </w:r>
      <w:r>
        <w:rPr>
          <w:rFonts w:hint="eastAsia"/>
          <w:color w:val="000000"/>
          <w:lang w:val="en-US" w:eastAsia="zh-CN"/>
        </w:rPr>
        <w:t>36</w:t>
      </w:r>
      <w:r>
        <w:rPr>
          <w:rFonts w:hint="eastAsia"/>
          <w:color w:val="000000"/>
        </w:rPr>
        <w:t>个月</w:t>
      </w:r>
      <w:r>
        <w:rPr>
          <w:rFonts w:hint="eastAsia"/>
          <w:color w:val="000000"/>
          <w:lang w:eastAsia="zh-CN"/>
        </w:rPr>
        <w:t>。</w:t>
      </w:r>
      <w:r>
        <w:rPr>
          <w:rFonts w:hint="eastAsia"/>
          <w:color w:val="000000"/>
          <w:lang w:val="en-US" w:eastAsia="zh-CN"/>
        </w:rPr>
        <w:t>在免费维护期内，承建商</w:t>
      </w:r>
      <w:r>
        <w:rPr>
          <w:color w:val="000000"/>
        </w:rPr>
        <w:t>提供7*24小时服务热线，</w:t>
      </w:r>
      <w:r>
        <w:rPr>
          <w:rFonts w:hint="eastAsia"/>
          <w:color w:val="000000"/>
          <w:lang w:val="en-US" w:eastAsia="zh-CN"/>
        </w:rPr>
        <w:t>4小时内</w:t>
      </w:r>
      <w:r>
        <w:rPr>
          <w:color w:val="000000"/>
        </w:rPr>
        <w:t>安排合格的技术工程师提供技术支持和指导，</w:t>
      </w:r>
      <w:r>
        <w:rPr>
          <w:rFonts w:hint="eastAsia"/>
          <w:color w:val="000000"/>
        </w:rPr>
        <w:t>以及软件的局部改进完善以及故障情况下的现场问题解决</w:t>
      </w:r>
      <w:r>
        <w:rPr>
          <w:color w:val="000000"/>
        </w:rPr>
        <w:t>。</w:t>
      </w:r>
    </w:p>
    <w:p>
      <w:pPr>
        <w:spacing w:line="360" w:lineRule="auto"/>
        <w:ind w:firstLine="420"/>
      </w:pPr>
      <w:r>
        <w:rPr>
          <w:rFonts w:hint="eastAsia" w:ascii="宋体" w:hAnsi="宋体" w:cs="宋体"/>
          <w:szCs w:val="21"/>
        </w:rPr>
        <w:t>(二)</w:t>
      </w:r>
      <w:r>
        <w:rPr>
          <w:color w:val="000000"/>
        </w:rPr>
        <w:t>整机保修；保修期自验收合格之日起计算。</w:t>
      </w:r>
    </w:p>
    <w:p>
      <w:pPr>
        <w:spacing w:line="360" w:lineRule="auto"/>
        <w:ind w:firstLine="420"/>
        <w:rPr>
          <w:color w:val="000000"/>
        </w:rPr>
      </w:pPr>
      <w:r>
        <w:rPr>
          <w:rFonts w:hint="eastAsia" w:ascii="宋体" w:hAnsi="宋体" w:cs="宋体"/>
          <w:szCs w:val="21"/>
        </w:rPr>
        <w:t>(三)</w:t>
      </w:r>
      <w:r>
        <w:rPr>
          <w:color w:val="000000"/>
        </w:rPr>
        <w:t>提供原厂安装和3</w:t>
      </w:r>
      <w:r>
        <w:rPr>
          <w:rFonts w:hint="eastAsia"/>
          <w:color w:val="000000"/>
        </w:rPr>
        <w:t>年原厂</w:t>
      </w:r>
      <w:r>
        <w:rPr>
          <w:color w:val="000000"/>
        </w:rPr>
        <w:t>保修服务，安装及保修服务由</w:t>
      </w:r>
      <w:r>
        <w:rPr>
          <w:rFonts w:hint="eastAsia"/>
          <w:color w:val="000000"/>
          <w:lang w:val="en-US" w:eastAsia="zh-CN"/>
        </w:rPr>
        <w:t>承建商</w:t>
      </w:r>
      <w:r>
        <w:rPr>
          <w:color w:val="000000"/>
        </w:rPr>
        <w:t>负责，费用包含在本项目报价内。</w:t>
      </w:r>
    </w:p>
    <w:p>
      <w:pPr>
        <w:spacing w:line="360" w:lineRule="auto"/>
        <w:ind w:firstLine="420" w:firstLineChars="200"/>
        <w:rPr>
          <w:rFonts w:hint="eastAsia"/>
          <w:color w:val="000000"/>
        </w:rPr>
      </w:pPr>
      <w:r>
        <w:rPr>
          <w:rFonts w:hint="eastAsia"/>
          <w:color w:val="000000"/>
        </w:rPr>
        <w:t>(四)在维护期结束前，须由供货方和院方进行一次全面检查，任何缺陷必须由供货方负责修复，在修复之后，供货方应将缺陷原因、修复内容、完成修理及恢复正常的时间和日期等报告给院方，形成项目总结报告。</w:t>
      </w:r>
    </w:p>
    <w:p>
      <w:pPr>
        <w:spacing w:line="360" w:lineRule="auto"/>
        <w:ind w:firstLine="420" w:firstLineChars="200"/>
        <w:rPr>
          <w:rFonts w:hint="eastAsia"/>
          <w:color w:val="000000"/>
        </w:rPr>
      </w:pPr>
      <w:r>
        <w:rPr>
          <w:rFonts w:hint="eastAsia"/>
          <w:color w:val="000000"/>
        </w:rPr>
        <w:t>(五)超过维护期的，双方另行协商签订维护合同，信息设备（产品）的维护报价不超过合同信息设备（产品）部分金额的5%。</w:t>
      </w:r>
    </w:p>
    <w:p>
      <w:pPr>
        <w:spacing w:line="360" w:lineRule="auto"/>
        <w:ind w:firstLine="420" w:firstLineChars="200"/>
        <w:rPr>
          <w:rFonts w:hint="eastAsia"/>
          <w:color w:val="000000"/>
        </w:rPr>
      </w:pPr>
      <w:r>
        <w:rPr>
          <w:rFonts w:hint="eastAsia"/>
          <w:color w:val="000000"/>
        </w:rPr>
        <w:t>售后服务：提供原厂家7*24小时维修服务。</w:t>
      </w:r>
    </w:p>
    <w:p>
      <w:pPr>
        <w:spacing w:line="360" w:lineRule="auto"/>
        <w:ind w:firstLine="420" w:firstLineChars="200"/>
        <w:rPr>
          <w:rFonts w:hint="eastAsia"/>
          <w:color w:val="000000"/>
        </w:rPr>
      </w:pPr>
      <w:r>
        <w:rPr>
          <w:rFonts w:hint="eastAsia"/>
          <w:color w:val="000000"/>
        </w:rPr>
        <w:t>响应时间、方式：</w:t>
      </w:r>
      <w:r>
        <w:rPr>
          <w:rFonts w:hint="eastAsia"/>
          <w:color w:val="000000"/>
          <w:lang w:val="en-US" w:eastAsia="zh-CN"/>
        </w:rPr>
        <w:t>4</w:t>
      </w:r>
      <w:r>
        <w:rPr>
          <w:rFonts w:hint="eastAsia"/>
          <w:color w:val="000000"/>
        </w:rPr>
        <w:t>小时内响应到院方报修处，供货方需提供备件先行服务。</w:t>
      </w:r>
    </w:p>
    <w:p>
      <w:pPr>
        <w:spacing w:line="360" w:lineRule="auto"/>
        <w:ind w:firstLine="420" w:firstLineChars="200"/>
        <w:rPr>
          <w:rFonts w:hint="eastAsia"/>
          <w:color w:val="000000"/>
        </w:rPr>
      </w:pPr>
    </w:p>
    <w:p>
      <w:pPr>
        <w:pStyle w:val="21"/>
        <w:jc w:val="left"/>
      </w:pPr>
      <w:r>
        <w:rPr>
          <w:rFonts w:hint="eastAsia"/>
        </w:rPr>
        <w:t>五、培训要求</w:t>
      </w:r>
    </w:p>
    <w:p>
      <w:pPr>
        <w:spacing w:line="360" w:lineRule="auto"/>
        <w:ind w:left="0" w:leftChars="0" w:firstLine="420" w:firstLineChars="0"/>
        <w:rPr>
          <w:rFonts w:ascii="宋体" w:hAnsi="宋体" w:cs="宋体"/>
          <w:szCs w:val="21"/>
        </w:rPr>
      </w:pPr>
      <w:r>
        <w:rPr>
          <w:rFonts w:hint="eastAsia" w:ascii="宋体" w:hAnsi="宋体" w:cs="宋体"/>
          <w:szCs w:val="21"/>
        </w:rPr>
        <w:t>项目培训应贯串于整个项目的实施过程中，包括在从项目准备、分析、设计到项目实施运行的全过程中。</w:t>
      </w:r>
    </w:p>
    <w:p>
      <w:pPr>
        <w:spacing w:line="360" w:lineRule="auto"/>
        <w:ind w:left="0" w:leftChars="0" w:firstLine="420" w:firstLineChars="0"/>
        <w:rPr>
          <w:rFonts w:ascii="宋体" w:hAnsi="宋体" w:cs="宋体"/>
          <w:szCs w:val="21"/>
        </w:rPr>
      </w:pPr>
      <w:r>
        <w:rPr>
          <w:rFonts w:hint="eastAsia"/>
          <w:color w:val="000000"/>
        </w:rPr>
        <w:t>(一)</w:t>
      </w:r>
      <w:r>
        <w:rPr>
          <w:rFonts w:hint="eastAsia" w:ascii="宋体" w:hAnsi="宋体" w:cs="宋体"/>
          <w:szCs w:val="21"/>
        </w:rPr>
        <w:t>设计实施培训即是系统设计和各个阶段的培训，这些阶段包括：项目准备、用户需求分析、系统概要设计、系统详细设计、系统实施、系统运行建立、系统调试、系统维护管理。设计实施培训涉及的相关人员主要是技术人员，分阶段的被培训的人员包括：项目管理人员、需求分析人员、系统分析设计人员和系统管理人员。</w:t>
      </w:r>
    </w:p>
    <w:p>
      <w:pPr>
        <w:spacing w:line="360" w:lineRule="auto"/>
        <w:ind w:left="0" w:leftChars="0" w:firstLine="420" w:firstLineChars="0"/>
        <w:rPr>
          <w:rFonts w:ascii="宋体" w:hAnsi="宋体" w:cs="宋体"/>
          <w:szCs w:val="21"/>
        </w:rPr>
      </w:pPr>
      <w:r>
        <w:rPr>
          <w:rFonts w:hint="eastAsia" w:ascii="宋体" w:hAnsi="宋体" w:cs="宋体"/>
          <w:szCs w:val="21"/>
        </w:rPr>
        <w:t>(二)运行管理培训</w:t>
      </w:r>
      <w:r>
        <w:rPr>
          <w:rFonts w:hint="eastAsia" w:ascii="宋体" w:hAnsi="宋体" w:cs="宋体"/>
          <w:szCs w:val="21"/>
          <w:lang w:val="en-US" w:eastAsia="zh-CN"/>
        </w:rPr>
        <w:t>是</w:t>
      </w:r>
      <w:r>
        <w:rPr>
          <w:rFonts w:hint="eastAsia" w:ascii="宋体" w:hAnsi="宋体" w:cs="宋体"/>
          <w:szCs w:val="21"/>
        </w:rPr>
        <w:t>为了使广东省人民医院相关人员掌握有关应用系统的使用、维护和管理方法，达到能独立进行管理、故障处理、日常测试和维护等工作的目的，应进行系统的技术培训，以保证所使用的系统能够正常、安全、平稳地运行。</w:t>
      </w:r>
    </w:p>
    <w:p>
      <w:pPr>
        <w:spacing w:line="360" w:lineRule="auto"/>
        <w:ind w:left="0" w:leftChars="0" w:firstLine="420" w:firstLineChars="0"/>
        <w:rPr>
          <w:rFonts w:hint="eastAsia" w:ascii="宋体" w:hAnsi="宋体" w:cs="宋体"/>
          <w:szCs w:val="21"/>
        </w:rPr>
      </w:pPr>
      <w:r>
        <w:rPr>
          <w:rFonts w:hint="eastAsia" w:ascii="宋体" w:hAnsi="宋体" w:cs="宋体"/>
          <w:szCs w:val="21"/>
        </w:rPr>
        <w:t>(三)培训要求派出的培训教员应具有丰富的同类课程的教学经验和应用经验，保证培训的质量，使被培训的人掌握培训的知识，尤其是能独立安装和配置并维护系统；必须为所有被培训人员提供培训用文字资料和讲义等相关材料，如果培训地点在外地，</w:t>
      </w:r>
      <w:r>
        <w:rPr>
          <w:rFonts w:hint="eastAsia" w:ascii="宋体" w:hAnsi="宋体" w:cs="宋体"/>
          <w:szCs w:val="21"/>
          <w:lang w:val="en-US" w:eastAsia="zh-CN"/>
        </w:rPr>
        <w:t>承建方</w:t>
      </w:r>
      <w:r>
        <w:rPr>
          <w:rFonts w:hint="eastAsia" w:ascii="宋体" w:hAnsi="宋体" w:cs="宋体"/>
          <w:szCs w:val="21"/>
        </w:rPr>
        <w:t>还应为所有被培训人员提供食宿</w:t>
      </w:r>
      <w:r>
        <w:rPr>
          <w:rFonts w:hint="eastAsia" w:ascii="宋体" w:hAnsi="宋体" w:cs="宋体"/>
          <w:szCs w:val="21"/>
          <w:lang w:eastAsia="zh-CN"/>
        </w:rPr>
        <w:t>。</w:t>
      </w:r>
      <w:r>
        <w:rPr>
          <w:rFonts w:hint="eastAsia" w:ascii="宋体" w:hAnsi="宋体" w:cs="宋体"/>
          <w:szCs w:val="21"/>
        </w:rPr>
        <w:t>培训方式：包括课堂讲解、上机操作和实际工作的参与。</w:t>
      </w:r>
    </w:p>
    <w:p>
      <w:pPr>
        <w:spacing w:line="360" w:lineRule="auto"/>
        <w:rPr>
          <w:rFonts w:hint="eastAsia" w:ascii="宋体" w:hAnsi="宋体" w:cs="宋体"/>
          <w:szCs w:val="21"/>
        </w:rPr>
      </w:pPr>
    </w:p>
    <w:p>
      <w:pPr>
        <w:pStyle w:val="21"/>
        <w:jc w:val="left"/>
      </w:pPr>
      <w:r>
        <w:rPr>
          <w:rFonts w:hint="eastAsia"/>
          <w:lang w:val="en-US" w:eastAsia="zh-CN"/>
        </w:rPr>
        <w:t>六</w:t>
      </w:r>
      <w:r>
        <w:rPr>
          <w:rFonts w:hint="eastAsia"/>
        </w:rPr>
        <w:t>、合同款支付方式</w:t>
      </w:r>
    </w:p>
    <w:p>
      <w:pPr>
        <w:spacing w:line="360" w:lineRule="auto"/>
        <w:ind w:firstLine="420"/>
        <w:rPr>
          <w:color w:val="000000"/>
        </w:rPr>
      </w:pPr>
      <w:r>
        <w:rPr>
          <w:rFonts w:hint="default" w:ascii="Times New Roman" w:hAnsi="Times New Roman" w:cs="Times New Roman"/>
          <w:color w:val="000000"/>
          <w:szCs w:val="24"/>
        </w:rPr>
        <w:t>甲方将按如下方式向乙方支付合同费用：</w:t>
      </w:r>
    </w:p>
    <w:p>
      <w:pPr>
        <w:spacing w:line="360" w:lineRule="auto"/>
        <w:ind w:firstLine="420"/>
        <w:rPr>
          <w:color w:val="000000"/>
        </w:rPr>
      </w:pPr>
      <w:r>
        <w:rPr>
          <w:rFonts w:hint="eastAsia" w:ascii="宋体" w:hAnsi="宋体" w:cs="宋体"/>
          <w:szCs w:val="21"/>
        </w:rPr>
        <w:t>（一）</w:t>
      </w:r>
      <w:r>
        <w:rPr>
          <w:rFonts w:hint="eastAsia"/>
          <w:color w:val="000000"/>
        </w:rPr>
        <w:t>合同签订后，甲方在收到乙方开具相应金额正式发票后</w:t>
      </w:r>
      <w:r>
        <w:rPr>
          <w:color w:val="000000"/>
        </w:rPr>
        <w:t>，</w:t>
      </w:r>
      <w:r>
        <w:rPr>
          <w:rFonts w:hint="eastAsia"/>
          <w:color w:val="000000"/>
          <w:lang w:val="en-US" w:eastAsia="zh-CN"/>
        </w:rPr>
        <w:t>甲方</w:t>
      </w:r>
      <w:r>
        <w:rPr>
          <w:color w:val="000000"/>
        </w:rPr>
        <w:t>向</w:t>
      </w:r>
      <w:r>
        <w:rPr>
          <w:rFonts w:hint="eastAsia"/>
          <w:color w:val="000000"/>
          <w:lang w:val="en-US" w:eastAsia="zh-CN"/>
        </w:rPr>
        <w:t>乙方</w:t>
      </w:r>
      <w:r>
        <w:rPr>
          <w:color w:val="000000"/>
        </w:rPr>
        <w:t>支付合同总金额的30%。</w:t>
      </w:r>
    </w:p>
    <w:p>
      <w:pPr>
        <w:spacing w:line="360" w:lineRule="auto"/>
        <w:ind w:firstLine="420" w:firstLineChars="0"/>
        <w:rPr>
          <w:rFonts w:ascii="宋体" w:hAnsi="宋体" w:cs="宋体"/>
          <w:szCs w:val="21"/>
        </w:rPr>
      </w:pPr>
      <w:r>
        <w:rPr>
          <w:color w:val="000000"/>
        </w:rPr>
        <w:t>（</w:t>
      </w:r>
      <w:r>
        <w:rPr>
          <w:rFonts w:hint="eastAsia"/>
          <w:color w:val="000000"/>
          <w:lang w:val="en-US" w:eastAsia="zh-CN"/>
        </w:rPr>
        <w:t>二</w:t>
      </w:r>
      <w:r>
        <w:rPr>
          <w:color w:val="000000"/>
        </w:rPr>
        <w:t>）</w:t>
      </w:r>
      <w:r>
        <w:rPr>
          <w:rFonts w:hint="eastAsia"/>
        </w:rPr>
        <w:t>合同所有硬件设备（产品）运至采购人指定货运详细地址、开箱合格运转正常，所有设备（产品）和软件服务经最终用户签字验收（加电验收）后，且甲方在收到乙方开具相应金额正式发票以及售后服务履约承诺函后，向乙方支付合同总金额的70%。</w:t>
      </w: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auto"/>
      </w:rPr>
    </w:pPr>
    <w:r>
      <w:rPr>
        <w:caps/>
        <w:color w:val="auto"/>
      </w:rPr>
      <w:fldChar w:fldCharType="begin"/>
    </w:r>
    <w:r>
      <w:rPr>
        <w:caps/>
        <w:color w:val="auto"/>
      </w:rPr>
      <w:instrText xml:space="preserve">PAGE   \* MERGEFORMAT</w:instrText>
    </w:r>
    <w:r>
      <w:rPr>
        <w:caps/>
        <w:color w:val="auto"/>
      </w:rPr>
      <w:fldChar w:fldCharType="separate"/>
    </w:r>
    <w:r>
      <w:rPr>
        <w:caps/>
        <w:color w:val="auto"/>
      </w:rPr>
      <w:t>8</w:t>
    </w:r>
    <w:r>
      <w:rPr>
        <w:caps/>
        <w:color w:val="auto"/>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15205"/>
    <w:multiLevelType w:val="multilevel"/>
    <w:tmpl w:val="29015205"/>
    <w:lvl w:ilvl="0" w:tentative="0">
      <w:start w:val="1"/>
      <w:numFmt w:val="decimal"/>
      <w:pStyle w:val="2"/>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5"/>
      <w:lvlText w:val="5.1.1.%4"/>
      <w:lvlJc w:val="left"/>
      <w:pPr>
        <w:ind w:left="864" w:hanging="864"/>
      </w:pPr>
      <w:rPr>
        <w:rFonts w:hint="eastAsia"/>
      </w:rPr>
    </w:lvl>
    <w:lvl w:ilvl="4" w:tentative="0">
      <w:start w:val="1"/>
      <w:numFmt w:val="decimal"/>
      <w:pStyle w:val="6"/>
      <w:lvlText w:val="5.1.1.1.%5"/>
      <w:lvlJc w:val="left"/>
      <w:pPr>
        <w:ind w:left="2142" w:hanging="1008"/>
      </w:pPr>
      <w:rPr>
        <w:rFonts w:hint="eastAsia"/>
      </w:rPr>
    </w:lvl>
    <w:lvl w:ilvl="5" w:tentative="0">
      <w:start w:val="1"/>
      <w:numFmt w:val="decimal"/>
      <w:pStyle w:val="7"/>
      <w:lvlText w:val="%1.%2.%3.%4.%5.%6"/>
      <w:lvlJc w:val="left"/>
      <w:pPr>
        <w:ind w:left="1152" w:hanging="1152"/>
      </w:pPr>
      <w:rPr>
        <w:rFonts w:hint="eastAsia"/>
      </w:rPr>
    </w:lvl>
    <w:lvl w:ilvl="6" w:tentative="0">
      <w:start w:val="1"/>
      <w:numFmt w:val="decimal"/>
      <w:pStyle w:val="8"/>
      <w:lvlText w:val="%1.%2.%3.%4.%5.%6.%7"/>
      <w:lvlJc w:val="left"/>
      <w:pPr>
        <w:ind w:left="1296" w:hanging="1296"/>
      </w:pPr>
      <w:rPr>
        <w:rFonts w:hint="eastAsia"/>
      </w:rPr>
    </w:lvl>
    <w:lvl w:ilvl="7" w:tentative="0">
      <w:start w:val="1"/>
      <w:numFmt w:val="decimal"/>
      <w:pStyle w:val="9"/>
      <w:lvlText w:val="%1.%2.%3.%4.%5.%6.%7.%8"/>
      <w:lvlJc w:val="left"/>
      <w:pPr>
        <w:ind w:left="1440" w:hanging="1440"/>
      </w:pPr>
      <w:rPr>
        <w:rFonts w:hint="eastAsia"/>
      </w:rPr>
    </w:lvl>
    <w:lvl w:ilvl="8" w:tentative="0">
      <w:start w:val="1"/>
      <w:numFmt w:val="decimal"/>
      <w:pStyle w:val="10"/>
      <w:lvlText w:val="%1.%2.%3.%4.%5.%6.%7.%8.%9"/>
      <w:lvlJc w:val="left"/>
      <w:pPr>
        <w:ind w:left="1584" w:hanging="1584"/>
      </w:pPr>
      <w:rPr>
        <w:rFonts w:hint="eastAsia"/>
      </w:rPr>
    </w:lvl>
  </w:abstractNum>
  <w:abstractNum w:abstractNumId="1">
    <w:nsid w:val="3EBB3C91"/>
    <w:multiLevelType w:val="multilevel"/>
    <w:tmpl w:val="3EBB3C91"/>
    <w:lvl w:ilvl="0" w:tentative="0">
      <w:start w:val="1"/>
      <w:numFmt w:val="decimal"/>
      <w:pStyle w:val="63"/>
      <w:lvlText w:val="%1. "/>
      <w:lvlJc w:val="left"/>
      <w:pPr>
        <w:ind w:left="420" w:hanging="420"/>
      </w:pPr>
      <w:rPr>
        <w:rFonts w:hint="default" w:ascii="Times New Roman" w:hAnsi="Times New Roman" w:eastAsia="宋体"/>
        <w:b/>
        <w:i w:val="0"/>
      </w:rPr>
    </w:lvl>
    <w:lvl w:ilvl="1" w:tentative="0">
      <w:start w:val="1"/>
      <w:numFmt w:val="decimal"/>
      <w:pStyle w:val="56"/>
      <w:isLgl/>
      <w:suff w:val="space"/>
      <w:lvlText w:val="%1.%2 "/>
      <w:lvlJc w:val="left"/>
      <w:pPr>
        <w:ind w:left="3913" w:hanging="794"/>
      </w:pPr>
      <w:rPr>
        <w:rFonts w:hint="eastAsia"/>
      </w:rPr>
    </w:lvl>
    <w:lvl w:ilvl="2" w:tentative="0">
      <w:start w:val="1"/>
      <w:numFmt w:val="decimal"/>
      <w:pStyle w:val="62"/>
      <w:isLgl/>
      <w:suff w:val="space"/>
      <w:lvlText w:val="%1.%2.%3 "/>
      <w:lvlJc w:val="left"/>
      <w:pPr>
        <w:ind w:left="907" w:hanging="907"/>
      </w:pPr>
      <w:rPr>
        <w:rFonts w:hint="eastAsia"/>
      </w:rPr>
    </w:lvl>
    <w:lvl w:ilvl="3" w:tentative="0">
      <w:start w:val="1"/>
      <w:numFmt w:val="decimal"/>
      <w:pStyle w:val="61"/>
      <w:isLgl/>
      <w:suff w:val="space"/>
      <w:lvlText w:val="%1.%2.%3.%4 "/>
      <w:lvlJc w:val="left"/>
      <w:pPr>
        <w:ind w:left="1021" w:hanging="1021"/>
      </w:pPr>
      <w:rPr>
        <w:rFonts w:hint="eastAsia"/>
      </w:rPr>
    </w:lvl>
    <w:lvl w:ilvl="4" w:tentative="0">
      <w:start w:val="1"/>
      <w:numFmt w:val="decimal"/>
      <w:pStyle w:val="66"/>
      <w:isLgl/>
      <w:suff w:val="space"/>
      <w:lvlText w:val="%1.%2.%3.%4.%5 "/>
      <w:lvlJc w:val="left"/>
      <w:pPr>
        <w:ind w:left="1134" w:hanging="1134"/>
      </w:pPr>
      <w:rPr>
        <w:rFonts w:hint="eastAsia"/>
      </w:rPr>
    </w:lvl>
    <w:lvl w:ilvl="5" w:tentative="0">
      <w:start w:val="1"/>
      <w:numFmt w:val="decimal"/>
      <w:pStyle w:val="60"/>
      <w:isLgl/>
      <w:suff w:val="space"/>
      <w:lvlText w:val="%1.%2.%3.%4.%5.%6 "/>
      <w:lvlJc w:val="left"/>
      <w:pPr>
        <w:ind w:left="1247" w:hanging="1247"/>
      </w:pPr>
      <w:rPr>
        <w:rFonts w:hint="eastAsia"/>
      </w:rPr>
    </w:lvl>
    <w:lvl w:ilvl="6" w:tentative="0">
      <w:start w:val="1"/>
      <w:numFmt w:val="decimal"/>
      <w:lvlRestart w:val="1"/>
      <w:pStyle w:val="55"/>
      <w:isLgl/>
      <w:suff w:val="space"/>
      <w:lvlText w:val="图 %1.%7 "/>
      <w:lvlJc w:val="left"/>
      <w:pPr>
        <w:ind w:left="0" w:firstLine="0"/>
      </w:pPr>
      <w:rPr>
        <w:rFonts w:hint="eastAsia"/>
      </w:rPr>
    </w:lvl>
    <w:lvl w:ilvl="7" w:tentative="0">
      <w:start w:val="1"/>
      <w:numFmt w:val="decimal"/>
      <w:lvlRestart w:val="1"/>
      <w:pStyle w:val="65"/>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2FlZDRlZDVmYjczMDZmMTI1YzUxYTgwYjk4YjAifQ=="/>
  </w:docVars>
  <w:rsids>
    <w:rsidRoot w:val="00303343"/>
    <w:rsid w:val="000051D2"/>
    <w:rsid w:val="000079DD"/>
    <w:rsid w:val="00012DCC"/>
    <w:rsid w:val="00016B63"/>
    <w:rsid w:val="0004334E"/>
    <w:rsid w:val="00046B39"/>
    <w:rsid w:val="00054706"/>
    <w:rsid w:val="000612F5"/>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602AF"/>
    <w:rsid w:val="00162D29"/>
    <w:rsid w:val="00164878"/>
    <w:rsid w:val="00164C38"/>
    <w:rsid w:val="00165091"/>
    <w:rsid w:val="00171903"/>
    <w:rsid w:val="0018200C"/>
    <w:rsid w:val="001833B6"/>
    <w:rsid w:val="00190CD2"/>
    <w:rsid w:val="001947FD"/>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1296"/>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285A"/>
    <w:rsid w:val="003C0FB7"/>
    <w:rsid w:val="003C6D81"/>
    <w:rsid w:val="003D0F80"/>
    <w:rsid w:val="003D2595"/>
    <w:rsid w:val="003E7083"/>
    <w:rsid w:val="003F629F"/>
    <w:rsid w:val="00403938"/>
    <w:rsid w:val="00405AA9"/>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4F4766"/>
    <w:rsid w:val="00500264"/>
    <w:rsid w:val="00510B1E"/>
    <w:rsid w:val="005120A9"/>
    <w:rsid w:val="00517D7C"/>
    <w:rsid w:val="00520646"/>
    <w:rsid w:val="0052176F"/>
    <w:rsid w:val="0052604B"/>
    <w:rsid w:val="0053088D"/>
    <w:rsid w:val="00534BF6"/>
    <w:rsid w:val="00537CDE"/>
    <w:rsid w:val="005409FC"/>
    <w:rsid w:val="005563D3"/>
    <w:rsid w:val="00562842"/>
    <w:rsid w:val="00567D4F"/>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E17A1"/>
    <w:rsid w:val="005E7C53"/>
    <w:rsid w:val="005F0356"/>
    <w:rsid w:val="005F73BC"/>
    <w:rsid w:val="00600923"/>
    <w:rsid w:val="006053FC"/>
    <w:rsid w:val="006067C8"/>
    <w:rsid w:val="00612F3F"/>
    <w:rsid w:val="00620E68"/>
    <w:rsid w:val="00623637"/>
    <w:rsid w:val="006279C6"/>
    <w:rsid w:val="00644F1D"/>
    <w:rsid w:val="00646B59"/>
    <w:rsid w:val="006604C2"/>
    <w:rsid w:val="00677259"/>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A5027"/>
    <w:rsid w:val="007C0A5B"/>
    <w:rsid w:val="007C6921"/>
    <w:rsid w:val="007D22AB"/>
    <w:rsid w:val="007E5D71"/>
    <w:rsid w:val="007E71E6"/>
    <w:rsid w:val="007F5726"/>
    <w:rsid w:val="008168FB"/>
    <w:rsid w:val="00822BA6"/>
    <w:rsid w:val="008419E9"/>
    <w:rsid w:val="008548FB"/>
    <w:rsid w:val="008623FD"/>
    <w:rsid w:val="00866774"/>
    <w:rsid w:val="00873B97"/>
    <w:rsid w:val="008A5AC9"/>
    <w:rsid w:val="008A62AC"/>
    <w:rsid w:val="008B2206"/>
    <w:rsid w:val="008C255D"/>
    <w:rsid w:val="008C576F"/>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53807"/>
    <w:rsid w:val="00966A88"/>
    <w:rsid w:val="00973A47"/>
    <w:rsid w:val="00981ED8"/>
    <w:rsid w:val="009822C7"/>
    <w:rsid w:val="00982AA3"/>
    <w:rsid w:val="009863EF"/>
    <w:rsid w:val="00986A41"/>
    <w:rsid w:val="0098719A"/>
    <w:rsid w:val="00991FF2"/>
    <w:rsid w:val="0099315B"/>
    <w:rsid w:val="00995DD9"/>
    <w:rsid w:val="009C1F02"/>
    <w:rsid w:val="009C3783"/>
    <w:rsid w:val="009C4E7E"/>
    <w:rsid w:val="009D6951"/>
    <w:rsid w:val="009D7DD1"/>
    <w:rsid w:val="009E006A"/>
    <w:rsid w:val="009E0351"/>
    <w:rsid w:val="009E214B"/>
    <w:rsid w:val="009E53AF"/>
    <w:rsid w:val="009F0270"/>
    <w:rsid w:val="009F61FA"/>
    <w:rsid w:val="00A05796"/>
    <w:rsid w:val="00A13CB0"/>
    <w:rsid w:val="00A14FD8"/>
    <w:rsid w:val="00A16AAF"/>
    <w:rsid w:val="00A22CA1"/>
    <w:rsid w:val="00A4595D"/>
    <w:rsid w:val="00A51146"/>
    <w:rsid w:val="00A61D3A"/>
    <w:rsid w:val="00A66833"/>
    <w:rsid w:val="00A70DCF"/>
    <w:rsid w:val="00A72437"/>
    <w:rsid w:val="00A73FDF"/>
    <w:rsid w:val="00A824B9"/>
    <w:rsid w:val="00A870DD"/>
    <w:rsid w:val="00A96157"/>
    <w:rsid w:val="00A969AF"/>
    <w:rsid w:val="00A9729E"/>
    <w:rsid w:val="00AA1822"/>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03D8"/>
    <w:rsid w:val="00B62917"/>
    <w:rsid w:val="00B6697F"/>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6EDC"/>
    <w:rsid w:val="00CE2D1F"/>
    <w:rsid w:val="00CF1561"/>
    <w:rsid w:val="00CF1A40"/>
    <w:rsid w:val="00CF36EF"/>
    <w:rsid w:val="00CF4AE2"/>
    <w:rsid w:val="00D1110F"/>
    <w:rsid w:val="00D15B10"/>
    <w:rsid w:val="00D20969"/>
    <w:rsid w:val="00D23E20"/>
    <w:rsid w:val="00D30FA6"/>
    <w:rsid w:val="00D32842"/>
    <w:rsid w:val="00D407EB"/>
    <w:rsid w:val="00D454AB"/>
    <w:rsid w:val="00D536AB"/>
    <w:rsid w:val="00D54E0C"/>
    <w:rsid w:val="00D5537A"/>
    <w:rsid w:val="00D64109"/>
    <w:rsid w:val="00D71136"/>
    <w:rsid w:val="00D7755A"/>
    <w:rsid w:val="00D77F36"/>
    <w:rsid w:val="00D9057D"/>
    <w:rsid w:val="00DA026E"/>
    <w:rsid w:val="00DA576E"/>
    <w:rsid w:val="00DB0A86"/>
    <w:rsid w:val="00DB57B7"/>
    <w:rsid w:val="00DC33CF"/>
    <w:rsid w:val="00DC3415"/>
    <w:rsid w:val="00DD3DE6"/>
    <w:rsid w:val="00DE4534"/>
    <w:rsid w:val="00DF3D3A"/>
    <w:rsid w:val="00DF4228"/>
    <w:rsid w:val="00E06670"/>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C44"/>
    <w:rsid w:val="00EA6408"/>
    <w:rsid w:val="00EC0483"/>
    <w:rsid w:val="00EC33A4"/>
    <w:rsid w:val="00ED0897"/>
    <w:rsid w:val="00ED73FF"/>
    <w:rsid w:val="00ED7F01"/>
    <w:rsid w:val="00EE2FB8"/>
    <w:rsid w:val="00EE4612"/>
    <w:rsid w:val="00EE51DE"/>
    <w:rsid w:val="00EE609F"/>
    <w:rsid w:val="00EF5E01"/>
    <w:rsid w:val="00EF6223"/>
    <w:rsid w:val="00EF6EC0"/>
    <w:rsid w:val="00F02058"/>
    <w:rsid w:val="00F0343C"/>
    <w:rsid w:val="00F04CE5"/>
    <w:rsid w:val="00F13514"/>
    <w:rsid w:val="00F1360F"/>
    <w:rsid w:val="00F16AA8"/>
    <w:rsid w:val="00F21791"/>
    <w:rsid w:val="00F3226A"/>
    <w:rsid w:val="00F33DB0"/>
    <w:rsid w:val="00F36222"/>
    <w:rsid w:val="00F45DB8"/>
    <w:rsid w:val="00F54D29"/>
    <w:rsid w:val="00F62BCD"/>
    <w:rsid w:val="00F72395"/>
    <w:rsid w:val="00F74B77"/>
    <w:rsid w:val="00F764FE"/>
    <w:rsid w:val="00F80625"/>
    <w:rsid w:val="00F827B6"/>
    <w:rsid w:val="00F86265"/>
    <w:rsid w:val="00F92BE5"/>
    <w:rsid w:val="00FA0574"/>
    <w:rsid w:val="00FB40F7"/>
    <w:rsid w:val="00FB68D3"/>
    <w:rsid w:val="00FC4B75"/>
    <w:rsid w:val="00FE7554"/>
    <w:rsid w:val="00FF17FE"/>
    <w:rsid w:val="01B72D39"/>
    <w:rsid w:val="023A0DE1"/>
    <w:rsid w:val="051F0BAA"/>
    <w:rsid w:val="05AE12D1"/>
    <w:rsid w:val="08807DC0"/>
    <w:rsid w:val="09972933"/>
    <w:rsid w:val="09C03B07"/>
    <w:rsid w:val="09D52C60"/>
    <w:rsid w:val="0B2C354F"/>
    <w:rsid w:val="0B2E4DAA"/>
    <w:rsid w:val="0CD22E44"/>
    <w:rsid w:val="0D617DE3"/>
    <w:rsid w:val="0DD0089A"/>
    <w:rsid w:val="0DE52D71"/>
    <w:rsid w:val="0E4D4EA6"/>
    <w:rsid w:val="10D97CD5"/>
    <w:rsid w:val="10ED1476"/>
    <w:rsid w:val="10FB3693"/>
    <w:rsid w:val="12135469"/>
    <w:rsid w:val="124315DA"/>
    <w:rsid w:val="145E16ED"/>
    <w:rsid w:val="14E15863"/>
    <w:rsid w:val="162776F9"/>
    <w:rsid w:val="162858D7"/>
    <w:rsid w:val="19801636"/>
    <w:rsid w:val="1BFD08D4"/>
    <w:rsid w:val="1D0165EA"/>
    <w:rsid w:val="1DFB0471"/>
    <w:rsid w:val="1E5365E3"/>
    <w:rsid w:val="1F274302"/>
    <w:rsid w:val="1FC94C0B"/>
    <w:rsid w:val="2079293B"/>
    <w:rsid w:val="20803CC9"/>
    <w:rsid w:val="213F1567"/>
    <w:rsid w:val="228965CC"/>
    <w:rsid w:val="2426228E"/>
    <w:rsid w:val="25CD5C03"/>
    <w:rsid w:val="25FA00A6"/>
    <w:rsid w:val="28887BBF"/>
    <w:rsid w:val="2BAF24A8"/>
    <w:rsid w:val="313F6476"/>
    <w:rsid w:val="317908E2"/>
    <w:rsid w:val="330469DC"/>
    <w:rsid w:val="370945C1"/>
    <w:rsid w:val="3AA77129"/>
    <w:rsid w:val="3B1BEA99"/>
    <w:rsid w:val="3E2B7643"/>
    <w:rsid w:val="3ED23E32"/>
    <w:rsid w:val="40D5220D"/>
    <w:rsid w:val="42200080"/>
    <w:rsid w:val="439A6E35"/>
    <w:rsid w:val="446E63AB"/>
    <w:rsid w:val="461940F5"/>
    <w:rsid w:val="46406C9A"/>
    <w:rsid w:val="46A071B9"/>
    <w:rsid w:val="46B75D3F"/>
    <w:rsid w:val="48480CC1"/>
    <w:rsid w:val="488C513A"/>
    <w:rsid w:val="48965ED0"/>
    <w:rsid w:val="49DF0FCF"/>
    <w:rsid w:val="4A201EF6"/>
    <w:rsid w:val="4C1F2800"/>
    <w:rsid w:val="4CB30DFF"/>
    <w:rsid w:val="4D85268B"/>
    <w:rsid w:val="51275918"/>
    <w:rsid w:val="521D79C2"/>
    <w:rsid w:val="52A907F9"/>
    <w:rsid w:val="530D5254"/>
    <w:rsid w:val="551663CF"/>
    <w:rsid w:val="576553EC"/>
    <w:rsid w:val="58354DBE"/>
    <w:rsid w:val="589436CF"/>
    <w:rsid w:val="5AD72AAD"/>
    <w:rsid w:val="5B4D1163"/>
    <w:rsid w:val="5C16336B"/>
    <w:rsid w:val="5C8E7193"/>
    <w:rsid w:val="5E7E6D93"/>
    <w:rsid w:val="5E987E55"/>
    <w:rsid w:val="5F5513E2"/>
    <w:rsid w:val="5FCD662E"/>
    <w:rsid w:val="60822B6A"/>
    <w:rsid w:val="645C5585"/>
    <w:rsid w:val="647A167F"/>
    <w:rsid w:val="648B3FB8"/>
    <w:rsid w:val="64A86918"/>
    <w:rsid w:val="6523039D"/>
    <w:rsid w:val="65554CF2"/>
    <w:rsid w:val="6D1D4D2C"/>
    <w:rsid w:val="6E511DCE"/>
    <w:rsid w:val="6F4F022A"/>
    <w:rsid w:val="712D16A4"/>
    <w:rsid w:val="718710C4"/>
    <w:rsid w:val="73955FE3"/>
    <w:rsid w:val="73B0538E"/>
    <w:rsid w:val="74EF0832"/>
    <w:rsid w:val="75CA4C66"/>
    <w:rsid w:val="768C7E47"/>
    <w:rsid w:val="774F263D"/>
    <w:rsid w:val="788F1E71"/>
    <w:rsid w:val="7BCD092E"/>
    <w:rsid w:val="7BD77067"/>
    <w:rsid w:val="7C902574"/>
    <w:rsid w:val="7E3F3BE5"/>
    <w:rsid w:val="7EA3483F"/>
    <w:rsid w:val="7EB26F07"/>
    <w:rsid w:val="7FEBEB7F"/>
    <w:rsid w:val="7FFFFE9E"/>
    <w:rsid w:val="A7FB11C9"/>
    <w:rsid w:val="AE9FAFE0"/>
    <w:rsid w:val="B3B3E8CB"/>
    <w:rsid w:val="BAFE0312"/>
    <w:rsid w:val="BF172D5F"/>
    <w:rsid w:val="CBF183CC"/>
    <w:rsid w:val="CDFF529D"/>
    <w:rsid w:val="DED7DFFB"/>
    <w:rsid w:val="DEEA0063"/>
    <w:rsid w:val="F7F31279"/>
    <w:rsid w:val="FB6FE567"/>
    <w:rsid w:val="FBB9C780"/>
    <w:rsid w:val="FDFFA6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numPr>
        <w:ilvl w:val="0"/>
        <w:numId w:val="1"/>
      </w:numPr>
      <w:spacing w:before="340" w:after="330" w:line="578" w:lineRule="auto"/>
      <w:outlineLvl w:val="0"/>
    </w:pPr>
    <w:rPr>
      <w:b/>
      <w:bCs/>
      <w:kern w:val="44"/>
      <w:sz w:val="44"/>
      <w:szCs w:val="44"/>
      <w:lang w:val="zh-CN" w:eastAsia="zh-CN"/>
    </w:rPr>
  </w:style>
  <w:style w:type="paragraph" w:styleId="3">
    <w:name w:val="heading 2"/>
    <w:basedOn w:val="1"/>
    <w:next w:val="1"/>
    <w:link w:val="28"/>
    <w:qFormat/>
    <w:uiPriority w:val="0"/>
    <w:pPr>
      <w:keepNext/>
      <w:keepLines/>
      <w:spacing w:before="260" w:after="260" w:line="416" w:lineRule="auto"/>
      <w:outlineLvl w:val="1"/>
    </w:pPr>
    <w:rPr>
      <w:rFonts w:ascii="等线 Light" w:hAnsi="等线 Light" w:eastAsia="等线 Light"/>
      <w:b/>
      <w:bCs/>
      <w:sz w:val="32"/>
      <w:szCs w:val="32"/>
      <w:lang w:val="zh-CN" w:eastAsia="zh-CN"/>
    </w:rPr>
  </w:style>
  <w:style w:type="paragraph" w:styleId="4">
    <w:name w:val="heading 3"/>
    <w:basedOn w:val="1"/>
    <w:next w:val="1"/>
    <w:link w:val="29"/>
    <w:qFormat/>
    <w:uiPriority w:val="0"/>
    <w:pPr>
      <w:keepNext/>
      <w:keepLines/>
      <w:spacing w:before="260" w:after="260" w:line="416" w:lineRule="auto"/>
      <w:outlineLvl w:val="2"/>
    </w:pPr>
    <w:rPr>
      <w:b/>
      <w:bCs/>
      <w:sz w:val="30"/>
      <w:szCs w:val="30"/>
      <w:lang w:val="zh-CN" w:eastAsia="zh-CN"/>
    </w:rPr>
  </w:style>
  <w:style w:type="paragraph" w:styleId="5">
    <w:name w:val="heading 4"/>
    <w:basedOn w:val="1"/>
    <w:next w:val="1"/>
    <w:link w:val="30"/>
    <w:qFormat/>
    <w:uiPriority w:val="0"/>
    <w:pPr>
      <w:keepNext/>
      <w:keepLines/>
      <w:numPr>
        <w:ilvl w:val="3"/>
        <w:numId w:val="1"/>
      </w:numPr>
      <w:spacing w:before="280" w:after="290" w:line="376" w:lineRule="auto"/>
      <w:outlineLvl w:val="3"/>
    </w:pPr>
    <w:rPr>
      <w:rFonts w:ascii="宋体" w:hAnsi="宋体"/>
      <w:b/>
      <w:bCs/>
      <w:sz w:val="28"/>
      <w:szCs w:val="28"/>
      <w:lang w:val="zh-CN" w:eastAsia="zh-CN"/>
    </w:rPr>
  </w:style>
  <w:style w:type="paragraph" w:styleId="6">
    <w:name w:val="heading 5"/>
    <w:basedOn w:val="1"/>
    <w:next w:val="1"/>
    <w:link w:val="31"/>
    <w:qFormat/>
    <w:uiPriority w:val="0"/>
    <w:pPr>
      <w:keepNext/>
      <w:keepLines/>
      <w:numPr>
        <w:ilvl w:val="4"/>
        <w:numId w:val="1"/>
      </w:numPr>
      <w:spacing w:before="280" w:after="290" w:line="376" w:lineRule="auto"/>
      <w:outlineLvl w:val="4"/>
    </w:pPr>
    <w:rPr>
      <w:b/>
      <w:bCs/>
      <w:sz w:val="28"/>
      <w:szCs w:val="28"/>
      <w:lang w:val="zh-CN" w:eastAsia="zh-CN"/>
    </w:rPr>
  </w:style>
  <w:style w:type="paragraph" w:styleId="7">
    <w:name w:val="heading 6"/>
    <w:basedOn w:val="1"/>
    <w:next w:val="1"/>
    <w:link w:val="32"/>
    <w:qFormat/>
    <w:uiPriority w:val="0"/>
    <w:pPr>
      <w:keepNext/>
      <w:keepLines/>
      <w:numPr>
        <w:ilvl w:val="5"/>
        <w:numId w:val="1"/>
      </w:numPr>
      <w:spacing w:before="240" w:after="64" w:line="320" w:lineRule="auto"/>
      <w:outlineLvl w:val="5"/>
    </w:pPr>
    <w:rPr>
      <w:rFonts w:ascii="等线 Light" w:hAnsi="等线 Light" w:eastAsia="等线 Light"/>
      <w:b/>
      <w:bCs/>
      <w:sz w:val="24"/>
      <w:lang w:val="zh-CN" w:eastAsia="zh-CN"/>
    </w:rPr>
  </w:style>
  <w:style w:type="paragraph" w:styleId="8">
    <w:name w:val="heading 7"/>
    <w:basedOn w:val="1"/>
    <w:next w:val="1"/>
    <w:link w:val="33"/>
    <w:qFormat/>
    <w:uiPriority w:val="0"/>
    <w:pPr>
      <w:keepNext/>
      <w:keepLines/>
      <w:numPr>
        <w:ilvl w:val="6"/>
        <w:numId w:val="1"/>
      </w:numPr>
      <w:spacing w:before="240" w:after="64" w:line="320" w:lineRule="auto"/>
      <w:outlineLvl w:val="6"/>
    </w:pPr>
    <w:rPr>
      <w:b/>
      <w:bCs/>
      <w:sz w:val="24"/>
      <w:lang w:val="zh-CN" w:eastAsia="zh-CN"/>
    </w:rPr>
  </w:style>
  <w:style w:type="paragraph" w:styleId="9">
    <w:name w:val="heading 8"/>
    <w:basedOn w:val="1"/>
    <w:next w:val="1"/>
    <w:link w:val="34"/>
    <w:qFormat/>
    <w:uiPriority w:val="0"/>
    <w:pPr>
      <w:keepNext/>
      <w:keepLines/>
      <w:numPr>
        <w:ilvl w:val="7"/>
        <w:numId w:val="1"/>
      </w:numPr>
      <w:spacing w:before="240" w:after="64" w:line="320" w:lineRule="auto"/>
      <w:outlineLvl w:val="7"/>
    </w:pPr>
    <w:rPr>
      <w:rFonts w:ascii="等线 Light" w:hAnsi="等线 Light" w:eastAsia="等线 Light"/>
      <w:sz w:val="24"/>
      <w:lang w:val="zh-CN" w:eastAsia="zh-CN"/>
    </w:rPr>
  </w:style>
  <w:style w:type="paragraph" w:styleId="10">
    <w:name w:val="heading 9"/>
    <w:basedOn w:val="1"/>
    <w:next w:val="1"/>
    <w:link w:val="35"/>
    <w:qFormat/>
    <w:uiPriority w:val="0"/>
    <w:pPr>
      <w:keepNext/>
      <w:keepLines/>
      <w:numPr>
        <w:ilvl w:val="8"/>
        <w:numId w:val="1"/>
      </w:numPr>
      <w:spacing w:before="240" w:after="64" w:line="320" w:lineRule="auto"/>
      <w:outlineLvl w:val="8"/>
    </w:pPr>
    <w:rPr>
      <w:rFonts w:ascii="等线 Light" w:hAnsi="等线 Light" w:eastAsia="等线 Light"/>
      <w:szCs w:val="21"/>
      <w:lang w:val="zh-CN" w:eastAsia="zh-CN"/>
    </w:rPr>
  </w:style>
  <w:style w:type="character" w:default="1" w:styleId="24">
    <w:name w:val="Default Paragraph Font"/>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11">
    <w:name w:val="Normal Indent"/>
    <w:basedOn w:val="1"/>
    <w:link w:val="36"/>
    <w:qFormat/>
    <w:uiPriority w:val="99"/>
    <w:pPr>
      <w:spacing w:before="120" w:beforeLines="50" w:line="360" w:lineRule="auto"/>
      <w:ind w:firstLine="512" w:firstLineChars="200"/>
    </w:pPr>
    <w:rPr>
      <w:spacing w:val="8"/>
      <w:sz w:val="24"/>
      <w:szCs w:val="20"/>
    </w:rPr>
  </w:style>
  <w:style w:type="paragraph" w:styleId="12">
    <w:name w:val="annotation text"/>
    <w:basedOn w:val="1"/>
    <w:link w:val="37"/>
    <w:unhideWhenUsed/>
    <w:qFormat/>
    <w:uiPriority w:val="0"/>
    <w:pPr>
      <w:jc w:val="left"/>
    </w:pPr>
    <w:rPr>
      <w:kern w:val="0"/>
      <w:sz w:val="20"/>
      <w:lang w:val="zh-CN" w:eastAsia="zh-CN"/>
    </w:rPr>
  </w:style>
  <w:style w:type="paragraph" w:styleId="13">
    <w:name w:val="Body Text"/>
    <w:basedOn w:val="1"/>
    <w:next w:val="14"/>
    <w:link w:val="38"/>
    <w:qFormat/>
    <w:uiPriority w:val="0"/>
    <w:pPr>
      <w:spacing w:after="120"/>
    </w:pPr>
  </w:style>
  <w:style w:type="paragraph" w:styleId="14">
    <w:name w:val="Quote"/>
    <w:next w:val="1"/>
    <w:link w:val="39"/>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styleId="15">
    <w:name w:val="Plain Text"/>
    <w:basedOn w:val="1"/>
    <w:link w:val="40"/>
    <w:qFormat/>
    <w:uiPriority w:val="0"/>
    <w:rPr>
      <w:rFonts w:ascii="Calibri" w:hAnsi="Courier New"/>
      <w:szCs w:val="20"/>
      <w:lang w:val="zh-CN" w:eastAsia="zh-CN"/>
    </w:rPr>
  </w:style>
  <w:style w:type="paragraph" w:styleId="16">
    <w:name w:val="Balloon Text"/>
    <w:basedOn w:val="1"/>
    <w:link w:val="41"/>
    <w:qFormat/>
    <w:uiPriority w:val="0"/>
    <w:rPr>
      <w:sz w:val="18"/>
      <w:szCs w:val="18"/>
      <w:lang w:val="zh-CN" w:eastAsia="zh-CN"/>
    </w:rPr>
  </w:style>
  <w:style w:type="paragraph" w:styleId="17">
    <w:name w:val="footer"/>
    <w:basedOn w:val="1"/>
    <w:link w:val="42"/>
    <w:qFormat/>
    <w:uiPriority w:val="0"/>
    <w:pPr>
      <w:tabs>
        <w:tab w:val="center" w:pos="4153"/>
        <w:tab w:val="right" w:pos="8306"/>
      </w:tabs>
      <w:snapToGrid w:val="0"/>
      <w:jc w:val="left"/>
    </w:pPr>
    <w:rPr>
      <w:sz w:val="18"/>
      <w:szCs w:val="18"/>
      <w:lang w:val="zh-CN" w:eastAsia="zh-CN"/>
    </w:rPr>
  </w:style>
  <w:style w:type="paragraph" w:styleId="18">
    <w:name w:val="header"/>
    <w:basedOn w:val="1"/>
    <w:link w:val="43"/>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19">
    <w:name w:val="Subtitle"/>
    <w:basedOn w:val="1"/>
    <w:next w:val="1"/>
    <w:link w:val="44"/>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1">
    <w:name w:val="Title"/>
    <w:basedOn w:val="1"/>
    <w:qFormat/>
    <w:uiPriority w:val="99"/>
    <w:pPr>
      <w:spacing w:before="240" w:after="60"/>
      <w:jc w:val="center"/>
      <w:outlineLvl w:val="0"/>
    </w:pPr>
    <w:rPr>
      <w:rFonts w:ascii="Arial" w:hAnsi="Arial" w:cs="Arial"/>
      <w:b/>
      <w:bCs/>
      <w:sz w:val="32"/>
      <w:szCs w:val="32"/>
    </w:rPr>
  </w:style>
  <w:style w:type="table" w:styleId="23">
    <w:name w:val="Table Grid"/>
    <w:basedOn w:val="2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qFormat/>
    <w:uiPriority w:val="0"/>
    <w:rPr>
      <w:color w:val="0563C1"/>
      <w:u w:val="single"/>
    </w:rPr>
  </w:style>
  <w:style w:type="character" w:styleId="26">
    <w:name w:val="annotation reference"/>
    <w:unhideWhenUsed/>
    <w:qFormat/>
    <w:uiPriority w:val="99"/>
    <w:rPr>
      <w:sz w:val="21"/>
      <w:szCs w:val="21"/>
    </w:rPr>
  </w:style>
  <w:style w:type="character" w:customStyle="1" w:styleId="27">
    <w:name w:val="标题 1 字符"/>
    <w:link w:val="2"/>
    <w:qFormat/>
    <w:uiPriority w:val="0"/>
    <w:rPr>
      <w:b/>
      <w:bCs/>
      <w:kern w:val="44"/>
      <w:sz w:val="44"/>
      <w:szCs w:val="44"/>
      <w:lang w:val="zh-CN" w:eastAsia="zh-CN"/>
    </w:rPr>
  </w:style>
  <w:style w:type="character" w:customStyle="1" w:styleId="28">
    <w:name w:val="标题 2 字符"/>
    <w:link w:val="3"/>
    <w:qFormat/>
    <w:uiPriority w:val="0"/>
    <w:rPr>
      <w:rFonts w:ascii="等线 Light" w:hAnsi="等线 Light" w:eastAsia="等线 Light" w:cs="Times New Roman"/>
      <w:b/>
      <w:bCs/>
      <w:kern w:val="2"/>
      <w:sz w:val="32"/>
      <w:szCs w:val="32"/>
    </w:rPr>
  </w:style>
  <w:style w:type="character" w:customStyle="1" w:styleId="29">
    <w:name w:val="标题 3 字符"/>
    <w:link w:val="4"/>
    <w:qFormat/>
    <w:uiPriority w:val="0"/>
    <w:rPr>
      <w:b/>
      <w:bCs/>
      <w:kern w:val="2"/>
      <w:sz w:val="30"/>
      <w:szCs w:val="30"/>
    </w:rPr>
  </w:style>
  <w:style w:type="character" w:customStyle="1" w:styleId="30">
    <w:name w:val="标题 4 字符"/>
    <w:link w:val="5"/>
    <w:qFormat/>
    <w:uiPriority w:val="0"/>
    <w:rPr>
      <w:rFonts w:ascii="宋体" w:hAnsi="宋体"/>
      <w:b/>
      <w:bCs/>
      <w:kern w:val="2"/>
      <w:sz w:val="28"/>
      <w:szCs w:val="28"/>
    </w:rPr>
  </w:style>
  <w:style w:type="character" w:customStyle="1" w:styleId="31">
    <w:name w:val="标题 5 字符"/>
    <w:link w:val="6"/>
    <w:qFormat/>
    <w:uiPriority w:val="0"/>
    <w:rPr>
      <w:b/>
      <w:bCs/>
      <w:kern w:val="2"/>
      <w:sz w:val="28"/>
      <w:szCs w:val="28"/>
    </w:rPr>
  </w:style>
  <w:style w:type="character" w:customStyle="1" w:styleId="32">
    <w:name w:val="标题 6 字符"/>
    <w:link w:val="7"/>
    <w:semiHidden/>
    <w:qFormat/>
    <w:uiPriority w:val="0"/>
    <w:rPr>
      <w:rFonts w:ascii="等线 Light" w:hAnsi="等线 Light" w:eastAsia="等线 Light"/>
      <w:b/>
      <w:bCs/>
      <w:kern w:val="2"/>
      <w:sz w:val="24"/>
      <w:szCs w:val="24"/>
    </w:rPr>
  </w:style>
  <w:style w:type="character" w:customStyle="1" w:styleId="33">
    <w:name w:val="标题 7 字符"/>
    <w:link w:val="8"/>
    <w:semiHidden/>
    <w:qFormat/>
    <w:uiPriority w:val="0"/>
    <w:rPr>
      <w:b/>
      <w:bCs/>
      <w:kern w:val="2"/>
      <w:sz w:val="24"/>
      <w:szCs w:val="24"/>
    </w:rPr>
  </w:style>
  <w:style w:type="character" w:customStyle="1" w:styleId="34">
    <w:name w:val="标题 8 字符"/>
    <w:link w:val="9"/>
    <w:semiHidden/>
    <w:qFormat/>
    <w:uiPriority w:val="0"/>
    <w:rPr>
      <w:rFonts w:ascii="等线 Light" w:hAnsi="等线 Light" w:eastAsia="等线 Light"/>
      <w:kern w:val="2"/>
      <w:sz w:val="24"/>
      <w:szCs w:val="24"/>
    </w:rPr>
  </w:style>
  <w:style w:type="character" w:customStyle="1" w:styleId="35">
    <w:name w:val="标题 9 字符"/>
    <w:link w:val="10"/>
    <w:semiHidden/>
    <w:qFormat/>
    <w:uiPriority w:val="0"/>
    <w:rPr>
      <w:rFonts w:ascii="等线 Light" w:hAnsi="等线 Light" w:eastAsia="等线 Light"/>
      <w:kern w:val="2"/>
      <w:sz w:val="21"/>
      <w:szCs w:val="21"/>
    </w:rPr>
  </w:style>
  <w:style w:type="character" w:customStyle="1" w:styleId="36">
    <w:name w:val="正文缩进 字符"/>
    <w:link w:val="11"/>
    <w:qFormat/>
    <w:uiPriority w:val="99"/>
    <w:rPr>
      <w:spacing w:val="8"/>
      <w:kern w:val="2"/>
      <w:sz w:val="24"/>
      <w:lang w:val="en-US" w:eastAsia="zh-CN"/>
    </w:rPr>
  </w:style>
  <w:style w:type="character" w:customStyle="1" w:styleId="37">
    <w:name w:val="批注文字 字符1"/>
    <w:link w:val="12"/>
    <w:qFormat/>
    <w:uiPriority w:val="0"/>
    <w:rPr>
      <w:szCs w:val="24"/>
    </w:rPr>
  </w:style>
  <w:style w:type="character" w:customStyle="1" w:styleId="38">
    <w:name w:val="正文文本 字符"/>
    <w:link w:val="13"/>
    <w:qFormat/>
    <w:uiPriority w:val="0"/>
    <w:rPr>
      <w:kern w:val="2"/>
      <w:sz w:val="21"/>
      <w:szCs w:val="24"/>
    </w:rPr>
  </w:style>
  <w:style w:type="character" w:customStyle="1" w:styleId="39">
    <w:name w:val="引用 字符"/>
    <w:link w:val="14"/>
    <w:qFormat/>
    <w:uiPriority w:val="0"/>
    <w:rPr>
      <w:rFonts w:ascii="Calibri" w:hAnsi="Calibri"/>
      <w:i/>
      <w:sz w:val="21"/>
    </w:rPr>
  </w:style>
  <w:style w:type="character" w:customStyle="1" w:styleId="40">
    <w:name w:val="纯文本 字符"/>
    <w:link w:val="15"/>
    <w:qFormat/>
    <w:uiPriority w:val="0"/>
    <w:rPr>
      <w:rFonts w:ascii="Calibri" w:hAnsi="Courier New"/>
      <w:kern w:val="2"/>
      <w:sz w:val="21"/>
    </w:rPr>
  </w:style>
  <w:style w:type="character" w:customStyle="1" w:styleId="41">
    <w:name w:val="批注框文本 字符"/>
    <w:link w:val="16"/>
    <w:qFormat/>
    <w:uiPriority w:val="0"/>
    <w:rPr>
      <w:kern w:val="2"/>
      <w:sz w:val="18"/>
      <w:szCs w:val="18"/>
    </w:rPr>
  </w:style>
  <w:style w:type="character" w:customStyle="1" w:styleId="42">
    <w:name w:val="页脚 字符1"/>
    <w:link w:val="17"/>
    <w:qFormat/>
    <w:uiPriority w:val="0"/>
    <w:rPr>
      <w:kern w:val="2"/>
      <w:sz w:val="18"/>
      <w:szCs w:val="18"/>
    </w:rPr>
  </w:style>
  <w:style w:type="character" w:customStyle="1" w:styleId="43">
    <w:name w:val="页眉 字符"/>
    <w:link w:val="18"/>
    <w:qFormat/>
    <w:uiPriority w:val="0"/>
    <w:rPr>
      <w:kern w:val="2"/>
      <w:sz w:val="18"/>
      <w:szCs w:val="18"/>
    </w:rPr>
  </w:style>
  <w:style w:type="character" w:customStyle="1" w:styleId="44">
    <w:name w:val="副标题 字符"/>
    <w:link w:val="19"/>
    <w:qFormat/>
    <w:uiPriority w:val="0"/>
    <w:rPr>
      <w:rFonts w:ascii="Cambria" w:hAnsi="Cambria"/>
      <w:b/>
      <w:bCs/>
      <w:kern w:val="28"/>
      <w:sz w:val="32"/>
      <w:szCs w:val="32"/>
      <w:lang w:eastAsia="en-US"/>
    </w:rPr>
  </w:style>
  <w:style w:type="character" w:customStyle="1" w:styleId="45">
    <w:name w:val="已访问的超链接1"/>
    <w:qFormat/>
    <w:uiPriority w:val="0"/>
    <w:rPr>
      <w:color w:val="800080"/>
      <w:u w:val="single"/>
    </w:rPr>
  </w:style>
  <w:style w:type="character" w:customStyle="1" w:styleId="46">
    <w:name w:val="正文（首行缩进2字符） Char"/>
    <w:link w:val="47"/>
    <w:qFormat/>
    <w:uiPriority w:val="0"/>
    <w:rPr>
      <w:kern w:val="2"/>
      <w:sz w:val="24"/>
      <w:szCs w:val="24"/>
    </w:rPr>
  </w:style>
  <w:style w:type="paragraph" w:customStyle="1" w:styleId="47">
    <w:name w:val="正文（首行缩进2字符）"/>
    <w:basedOn w:val="1"/>
    <w:link w:val="46"/>
    <w:qFormat/>
    <w:uiPriority w:val="0"/>
    <w:pPr>
      <w:spacing w:line="360" w:lineRule="auto"/>
      <w:ind w:firstLine="480" w:firstLineChars="200"/>
    </w:pPr>
    <w:rPr>
      <w:sz w:val="24"/>
      <w:lang w:val="zh-CN" w:eastAsia="zh-CN"/>
    </w:rPr>
  </w:style>
  <w:style w:type="character" w:customStyle="1" w:styleId="48">
    <w:name w:val="段落 Char1"/>
    <w:link w:val="49"/>
    <w:qFormat/>
    <w:uiPriority w:val="0"/>
    <w:rPr>
      <w:rFonts w:eastAsia="仿宋_GB2312"/>
      <w:sz w:val="24"/>
      <w:szCs w:val="24"/>
      <w:lang w:val="en-US" w:eastAsia="zh-CN" w:bidi="ar-SA"/>
    </w:rPr>
  </w:style>
  <w:style w:type="paragraph" w:customStyle="1" w:styleId="49">
    <w:name w:val="段落"/>
    <w:link w:val="48"/>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50">
    <w:name w:val="正文（安华金和） Char"/>
    <w:link w:val="51"/>
    <w:qFormat/>
    <w:uiPriority w:val="0"/>
    <w:rPr>
      <w:rFonts w:ascii="Arial" w:hAnsi="Arial"/>
      <w:sz w:val="21"/>
      <w:szCs w:val="21"/>
      <w:lang w:val="en-US" w:eastAsia="zh-CN" w:bidi="ar-SA"/>
    </w:rPr>
  </w:style>
  <w:style w:type="paragraph" w:customStyle="1" w:styleId="51">
    <w:name w:val="正文（安华金和）"/>
    <w:link w:val="50"/>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2">
    <w:name w:val="页脚 字符"/>
    <w:qFormat/>
    <w:uiPriority w:val="99"/>
  </w:style>
  <w:style w:type="character" w:customStyle="1" w:styleId="53">
    <w:name w:val="列出段落 字符"/>
    <w:link w:val="54"/>
    <w:qFormat/>
    <w:uiPriority w:val="34"/>
    <w:rPr>
      <w:rFonts w:ascii="等线" w:hAnsi="等线" w:eastAsia="等线"/>
      <w:kern w:val="2"/>
      <w:sz w:val="21"/>
      <w:szCs w:val="22"/>
    </w:rPr>
  </w:style>
  <w:style w:type="paragraph" w:styleId="54">
    <w:name w:val="List Paragraph"/>
    <w:basedOn w:val="1"/>
    <w:link w:val="53"/>
    <w:qFormat/>
    <w:uiPriority w:val="34"/>
    <w:pPr>
      <w:ind w:firstLine="420" w:firstLineChars="200"/>
    </w:pPr>
    <w:rPr>
      <w:rFonts w:ascii="等线" w:hAnsi="等线" w:eastAsia="等线"/>
      <w:szCs w:val="22"/>
      <w:lang w:val="zh-CN" w:eastAsia="zh-CN"/>
    </w:rPr>
  </w:style>
  <w:style w:type="paragraph" w:customStyle="1" w:styleId="55">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6">
    <w:name w:val="标题 2（DBSec）"/>
    <w:basedOn w:val="3"/>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7">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8">
    <w:name w:val="_Style 27"/>
    <w:basedOn w:val="1"/>
    <w:next w:val="54"/>
    <w:qFormat/>
    <w:uiPriority w:val="34"/>
    <w:pPr>
      <w:widowControl/>
      <w:spacing w:line="240" w:lineRule="atLeast"/>
      <w:ind w:firstLine="420" w:firstLineChars="200"/>
    </w:pPr>
    <w:rPr>
      <w:rFonts w:ascii="Arial" w:hAnsi="Arial"/>
      <w:kern w:val="0"/>
      <w:szCs w:val="21"/>
    </w:rPr>
  </w:style>
  <w:style w:type="paragraph" w:customStyle="1" w:styleId="59">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60">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61">
    <w:name w:val="标题 4（DBSec）"/>
    <w:basedOn w:val="5"/>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62">
    <w:name w:val="标题 3（DBSec）"/>
    <w:basedOn w:val="4"/>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3">
    <w:name w:val="标题 1（DBSec）"/>
    <w:basedOn w:val="2"/>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eastAsia="zh-CN"/>
    </w:rPr>
  </w:style>
  <w:style w:type="paragraph" w:customStyle="1" w:styleId="64">
    <w:name w:val="彩色列表 - 着色 11"/>
    <w:basedOn w:val="1"/>
    <w:qFormat/>
    <w:uiPriority w:val="34"/>
    <w:pPr>
      <w:spacing w:line="360" w:lineRule="auto"/>
      <w:ind w:firstLine="420" w:firstLineChars="200"/>
    </w:pPr>
    <w:rPr>
      <w:rFonts w:ascii="Arial" w:hAnsi="Arial"/>
      <w:szCs w:val="21"/>
    </w:rPr>
  </w:style>
  <w:style w:type="paragraph" w:customStyle="1" w:styleId="65">
    <w:name w:val="表格标注（安华金和）"/>
    <w:basedOn w:val="55"/>
    <w:next w:val="1"/>
    <w:qFormat/>
    <w:uiPriority w:val="0"/>
    <w:pPr>
      <w:numPr>
        <w:ilvl w:val="7"/>
      </w:numPr>
    </w:pPr>
  </w:style>
  <w:style w:type="paragraph" w:customStyle="1" w:styleId="66">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7">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8">
    <w:name w:val="批注文字 字符"/>
    <w:qFormat/>
    <w:uiPriority w:val="99"/>
    <w:rPr>
      <w:kern w:val="2"/>
      <w:sz w:val="21"/>
      <w:szCs w:val="24"/>
    </w:rPr>
  </w:style>
  <w:style w:type="paragraph" w:customStyle="1" w:styleId="69">
    <w:name w:val="Other|1"/>
    <w:basedOn w:val="1"/>
    <w:qFormat/>
    <w:uiPriority w:val="0"/>
    <w:pPr>
      <w:jc w:val="center"/>
    </w:pPr>
    <w:rPr>
      <w:rFonts w:ascii="宋体" w:hAnsi="宋体" w:cs="宋体"/>
      <w:sz w:val="22"/>
      <w:szCs w:val="22"/>
    </w:rPr>
  </w:style>
  <w:style w:type="paragraph" w:customStyle="1" w:styleId="70">
    <w:name w:val="列出段落1"/>
    <w:basedOn w:val="1"/>
    <w:qFormat/>
    <w:uiPriority w:val="34"/>
    <w:pPr>
      <w:widowControl/>
      <w:ind w:firstLine="420" w:firstLineChars="200"/>
      <w:jc w:val="left"/>
    </w:pPr>
    <w:rPr>
      <w:rFonts w:ascii="宋体" w:hAnsi="宋体" w:cs="宋体"/>
      <w:kern w:val="0"/>
      <w:sz w:val="24"/>
    </w:rPr>
  </w:style>
  <w:style w:type="paragraph" w:customStyle="1" w:styleId="71">
    <w:name w:val="标题-2"/>
    <w:basedOn w:val="1"/>
    <w:next w:val="3"/>
    <w:qFormat/>
    <w:uiPriority w:val="0"/>
    <w:pPr>
      <w:spacing w:before="50" w:beforeLines="50" w:after="50" w:afterLines="50"/>
      <w:outlineLvl w:val="1"/>
    </w:pPr>
    <w:rPr>
      <w:rFonts w:ascii="宋体" w:hAnsi="宋体"/>
      <w:b/>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1130</Words>
  <Characters>6441</Characters>
  <Lines>53</Lines>
  <Paragraphs>15</Paragraphs>
  <TotalTime>0</TotalTime>
  <ScaleCrop>false</ScaleCrop>
  <LinksUpToDate>false</LinksUpToDate>
  <CharactersWithSpaces>7556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2022-01-07T02:43:00Z</dcterms:created>
  <dc:creator>陈永辉</dc:creator>
  <cp:lastModifiedBy>梁铭标</cp:lastModifiedBy>
  <dcterms:modified xsi:type="dcterms:W3CDTF">2023-11-13T10:09:12Z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35C2E31CFB1938E535384E65782E47D2_43</vt:lpwstr>
  </property>
</Properties>
</file>